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ascii="Arial" w:hAnsi="Arial" w:eastAsia="宋体" w:cs="Arial"/>
          <w:b/>
          <w:bCs/>
        </w:rPr>
      </w:pPr>
      <w:r>
        <w:rPr>
          <w:rFonts w:ascii="Arial" w:hAnsi="Arial" w:cs="Arial"/>
          <w:b/>
          <w:bCs/>
        </w:rPr>
        <w:t xml:space="preserve">3GPP TSG-RAN WG4 Meeting # </w:t>
      </w:r>
      <w:r>
        <w:rPr>
          <w:rFonts w:ascii="Arial" w:hAnsi="Arial" w:cs="Arial"/>
          <w:b/>
        </w:rPr>
        <w:t>10</w:t>
      </w:r>
      <w:r>
        <w:rPr>
          <w:rFonts w:hint="eastAsia" w:ascii="Arial" w:hAnsi="Arial" w:eastAsia="宋体" w:cs="Arial"/>
          <w:b/>
        </w:rPr>
        <w:t>8</w:t>
      </w:r>
      <w:r>
        <w:rPr>
          <w:rFonts w:ascii="Arial" w:hAnsi="Arial" w:cs="Arial"/>
          <w:b/>
          <w:bCs/>
        </w:rPr>
        <w:t xml:space="preserve">      </w:t>
      </w:r>
      <w:r>
        <w:rPr>
          <w:rFonts w:ascii="Arial" w:hAnsi="Arial" w:cs="Arial"/>
          <w:b/>
          <w:bCs/>
        </w:rPr>
        <w:tab/>
      </w:r>
      <w:bookmarkStart w:id="0" w:name="_Hlk41145946"/>
      <w:r>
        <w:rPr>
          <w:rFonts w:ascii="Arial" w:hAnsi="Arial" w:cs="Arial"/>
          <w:b/>
          <w:bCs/>
        </w:rPr>
        <w:t>R4-</w:t>
      </w:r>
      <w:bookmarkEnd w:id="0"/>
      <w:r>
        <w:rPr>
          <w:rFonts w:ascii="Arial" w:hAnsi="Arial" w:cs="Arial"/>
          <w:b/>
          <w:bCs/>
        </w:rPr>
        <w:t>23</w:t>
      </w:r>
      <w:r>
        <w:rPr>
          <w:rFonts w:hint="eastAsia" w:ascii="Arial" w:hAnsi="Arial" w:eastAsia="宋体" w:cs="Arial"/>
          <w:b/>
          <w:bCs/>
        </w:rPr>
        <w:t>13875</w:t>
      </w:r>
    </w:p>
    <w:p>
      <w:pPr>
        <w:tabs>
          <w:tab w:val="left" w:pos="1770"/>
          <w:tab w:val="center" w:pos="4557"/>
        </w:tabs>
        <w:spacing w:after="180"/>
        <w:rPr>
          <w:rFonts w:ascii="Arial" w:hAnsi="Arial" w:cs="Arial"/>
          <w:b/>
          <w:bCs/>
        </w:rPr>
      </w:pPr>
      <w:r>
        <w:rPr>
          <w:rFonts w:hint="eastAsia" w:ascii="Arial" w:hAnsi="Arial" w:cs="Arial"/>
          <w:b/>
          <w:bCs/>
        </w:rPr>
        <w:t>Toulouse, France, August 21 – August 25 , 2023</w:t>
      </w:r>
    </w:p>
    <w:p>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bookmarkStart w:id="1" w:name="_Hlk41145953"/>
      <w:r>
        <w:rPr>
          <w:rFonts w:ascii="Arial" w:hAnsi="Arial" w:cs="Arial"/>
          <w:sz w:val="22"/>
        </w:rPr>
        <w:t xml:space="preserve">WF for ATG </w:t>
      </w:r>
      <w:bookmarkEnd w:id="1"/>
      <w:r>
        <w:rPr>
          <w:rFonts w:ascii="Arial" w:hAnsi="Arial" w:cs="Arial"/>
          <w:sz w:val="22"/>
        </w:rPr>
        <w:t>demodulation requirements</w:t>
      </w:r>
      <w:r>
        <w:rPr>
          <w:rFonts w:ascii="Arial" w:hAnsi="Arial" w:cs="Arial"/>
          <w:b/>
          <w:sz w:val="22"/>
        </w:rPr>
        <w:t xml:space="preserve"> </w:t>
      </w:r>
    </w:p>
    <w:p>
      <w:pPr>
        <w:tabs>
          <w:tab w:val="left" w:pos="1770"/>
          <w:tab w:val="center" w:pos="4557"/>
        </w:tabs>
        <w:spacing w:after="180"/>
        <w:rPr>
          <w:rFonts w:ascii="Arial" w:hAnsi="Arial" w:cs="Arial"/>
          <w:b/>
          <w:sz w:val="22"/>
        </w:rPr>
      </w:pPr>
      <w:r>
        <w:rPr>
          <w:rFonts w:ascii="Arial" w:hAnsi="Arial" w:cs="Arial"/>
          <w:b/>
          <w:sz w:val="22"/>
        </w:rPr>
        <w:t>Agenda Item:</w:t>
      </w:r>
      <w:r>
        <w:rPr>
          <w:rFonts w:ascii="Arial" w:hAnsi="Arial" w:cs="Arial"/>
          <w:b/>
          <w:sz w:val="22"/>
        </w:rPr>
        <w:tab/>
      </w:r>
      <w:r>
        <w:rPr>
          <w:rFonts w:ascii="Arial" w:hAnsi="Arial" w:cs="Arial"/>
          <w:sz w:val="22"/>
        </w:rPr>
        <w:t>8.1</w:t>
      </w:r>
      <w:r>
        <w:rPr>
          <w:rFonts w:hint="eastAsia" w:ascii="Arial" w:hAnsi="Arial" w:eastAsia="宋体" w:cs="Arial"/>
          <w:sz w:val="22"/>
        </w:rPr>
        <w:t>3</w:t>
      </w:r>
      <w:r>
        <w:rPr>
          <w:rFonts w:ascii="Arial" w:hAnsi="Arial" w:cs="Arial"/>
          <w:sz w:val="22"/>
        </w:rPr>
        <w:t>.6</w:t>
      </w:r>
    </w:p>
    <w:p>
      <w:pPr>
        <w:tabs>
          <w:tab w:val="left" w:pos="1765"/>
        </w:tabs>
        <w:spacing w:after="180"/>
        <w:rPr>
          <w:rFonts w:ascii="Arial" w:hAnsi="Arial" w:cs="Arial" w:eastAsiaTheme="minorEastAsia"/>
          <w:sz w:val="22"/>
        </w:rPr>
      </w:pPr>
      <w:r>
        <w:rPr>
          <w:rFonts w:ascii="Arial" w:hAnsi="Arial" w:cs="Arial"/>
          <w:b/>
          <w:sz w:val="22"/>
        </w:rPr>
        <w:t xml:space="preserve">Source: </w:t>
      </w:r>
      <w:r>
        <w:rPr>
          <w:rFonts w:ascii="Arial" w:hAnsi="Arial" w:cs="Arial"/>
          <w:b/>
          <w:sz w:val="22"/>
        </w:rPr>
        <w:tab/>
      </w:r>
      <w:bookmarkStart w:id="2" w:name="_Hlk41145958"/>
      <w:r>
        <w:rPr>
          <w:rFonts w:ascii="Arial" w:hAnsi="Arial" w:cs="Arial"/>
          <w:sz w:val="22"/>
        </w:rPr>
        <w:t>CMCC</w:t>
      </w:r>
      <w:bookmarkEnd w:id="2"/>
      <w:bookmarkStart w:id="3" w:name="OLE_LINK8"/>
      <w:bookmarkStart w:id="4" w:name="OLE_LINK7"/>
    </w:p>
    <w:bookmarkEnd w:id="3"/>
    <w:bookmarkEnd w:id="4"/>
    <w:p>
      <w:pPr>
        <w:tabs>
          <w:tab w:val="left" w:pos="1765"/>
        </w:tabs>
        <w:spacing w:after="180"/>
        <w:rPr>
          <w:rFonts w:ascii="Arial" w:hAnsi="Arial" w:cs="Arial"/>
          <w:sz w:val="22"/>
        </w:rPr>
      </w:pPr>
      <w:r>
        <w:rPr>
          <w:rFonts w:ascii="Arial" w:hAnsi="Arial" w:cs="Arial"/>
          <w:b/>
          <w:sz w:val="22"/>
        </w:rPr>
        <w:t>Document for:</w:t>
      </w:r>
      <w:r>
        <w:rPr>
          <w:rFonts w:ascii="Arial" w:hAnsi="Arial" w:cs="Arial"/>
          <w:b/>
          <w:sz w:val="22"/>
        </w:rPr>
        <w:tab/>
      </w:r>
      <w:r>
        <w:rPr>
          <w:rFonts w:ascii="Arial" w:hAnsi="Arial" w:cs="Arial"/>
          <w:sz w:val="22"/>
        </w:rPr>
        <w:t>Approval</w:t>
      </w:r>
    </w:p>
    <w:p>
      <w:pPr>
        <w:pStyle w:val="2"/>
        <w:numPr>
          <w:ilvl w:val="0"/>
          <w:numId w:val="3"/>
        </w:numPr>
        <w:pBdr>
          <w:top w:val="single" w:color="auto" w:sz="12" w:space="3"/>
        </w:pBdr>
        <w:spacing w:before="120" w:after="60" w:line="240" w:lineRule="auto"/>
        <w:rPr>
          <w:rFonts w:cs="Arial"/>
          <w:b w:val="0"/>
          <w:bCs w:val="0"/>
          <w:kern w:val="0"/>
          <w:sz w:val="28"/>
          <w:szCs w:val="28"/>
        </w:rPr>
      </w:pPr>
      <w:bookmarkStart w:id="5" w:name="OLE_LINK1"/>
      <w:bookmarkStart w:id="6" w:name="OLE_LINK2"/>
      <w:r>
        <w:rPr>
          <w:rFonts w:cs="Arial"/>
          <w:b w:val="0"/>
          <w:bCs w:val="0"/>
          <w:kern w:val="0"/>
          <w:sz w:val="28"/>
          <w:szCs w:val="28"/>
        </w:rPr>
        <w:t>General</w:t>
      </w:r>
      <w:bookmarkStart w:id="7" w:name="_Hlk70326378"/>
    </w:p>
    <w:p>
      <w:pPr>
        <w:pStyle w:val="2"/>
        <w:numPr>
          <w:ilvl w:val="1"/>
          <w:numId w:val="3"/>
        </w:numPr>
        <w:pBdr>
          <w:top w:val="single" w:color="auto" w:sz="12" w:space="3"/>
        </w:pBdr>
        <w:spacing w:before="120" w:after="60" w:line="240" w:lineRule="auto"/>
        <w:rPr>
          <w:rFonts w:cs="Arial"/>
          <w:b w:val="0"/>
          <w:bCs w:val="0"/>
          <w:kern w:val="0"/>
          <w:sz w:val="28"/>
          <w:szCs w:val="28"/>
        </w:rPr>
      </w:pPr>
      <w:r>
        <w:rPr>
          <w:rFonts w:cs="Arial"/>
          <w:b w:val="0"/>
          <w:bCs w:val="0"/>
          <w:kern w:val="0"/>
          <w:sz w:val="28"/>
          <w:szCs w:val="28"/>
        </w:rPr>
        <w:t>Agreements</w:t>
      </w:r>
    </w:p>
    <w:p>
      <w:pPr>
        <w:rPr>
          <w:b/>
          <w:sz w:val="20"/>
          <w:szCs w:val="20"/>
          <w:u w:val="single"/>
          <w:lang w:eastAsia="ko-KR"/>
        </w:rPr>
      </w:pPr>
      <w:r>
        <w:rPr>
          <w:rFonts w:hint="eastAsia"/>
          <w:b/>
          <w:sz w:val="20"/>
          <w:szCs w:val="20"/>
          <w:u w:val="single"/>
          <w:lang w:eastAsia="ko-KR"/>
        </w:rPr>
        <w:t>Issue 1-2: TDD pattern 30D4S6U</w:t>
      </w:r>
    </w:p>
    <w:p>
      <w:pPr>
        <w:spacing w:after="60"/>
        <w:rPr>
          <w:rFonts w:eastAsiaTheme="minorEastAsia"/>
          <w:b/>
          <w:iCs/>
          <w:sz w:val="20"/>
          <w:szCs w:val="20"/>
        </w:rPr>
      </w:pPr>
      <w:r>
        <w:rPr>
          <w:rFonts w:eastAsiaTheme="minorEastAsia"/>
          <w:b/>
          <w:iCs/>
          <w:sz w:val="20"/>
          <w:szCs w:val="20"/>
        </w:rPr>
        <w:t>Agreement:</w:t>
      </w:r>
    </w:p>
    <w:p>
      <w:pPr>
        <w:numPr>
          <w:ilvl w:val="0"/>
          <w:numId w:val="4"/>
        </w:numPr>
        <w:spacing w:after="120"/>
        <w:rPr>
          <w:rFonts w:eastAsia="宋体"/>
          <w:sz w:val="20"/>
          <w:lang w:val="en-GB"/>
        </w:rPr>
      </w:pPr>
      <w:r>
        <w:rPr>
          <w:rFonts w:hint="eastAsia" w:eastAsia="宋体"/>
          <w:sz w:val="20"/>
          <w:lang w:val="en-GB"/>
        </w:rPr>
        <w:t>Wait RAN1 response. If RAN1 response that “Increasing the number of HARQ processes” and “K1 range extension” issue can be solved by existing NTN solution, consider to define corresponding demodulation requirements with the new TDD pattern and note should be added in the specification that this pattern is for ATG scenario only, these requirements should be optional based on UE capability</w:t>
      </w:r>
    </w:p>
    <w:p>
      <w:pPr>
        <w:rPr>
          <w:b/>
          <w:sz w:val="20"/>
          <w:szCs w:val="20"/>
          <w:u w:val="single"/>
          <w:lang w:eastAsia="ko-KR"/>
        </w:rPr>
      </w:pPr>
      <w:r>
        <w:rPr>
          <w:rFonts w:hint="eastAsia"/>
          <w:b/>
          <w:sz w:val="20"/>
          <w:szCs w:val="20"/>
          <w:u w:val="single"/>
          <w:lang w:eastAsia="ko-KR"/>
        </w:rPr>
        <w:t>Issue 1-3: Applicability rule for TDD pattern</w:t>
      </w:r>
    </w:p>
    <w:p>
      <w:pPr>
        <w:numPr>
          <w:ilvl w:val="0"/>
          <w:numId w:val="4"/>
        </w:numPr>
        <w:spacing w:after="120"/>
        <w:rPr>
          <w:rFonts w:eastAsia="宋体"/>
          <w:sz w:val="20"/>
          <w:lang w:val="en-GB"/>
        </w:rPr>
      </w:pPr>
      <w:r>
        <w:rPr>
          <w:rFonts w:hint="eastAsia" w:eastAsia="宋体"/>
          <w:sz w:val="20"/>
          <w:lang w:val="en-GB"/>
        </w:rPr>
        <w:t>Option 1: the legacy TDD pattern can be skipped if the test of new TDD pattern is passed</w:t>
      </w:r>
      <w:r>
        <w:rPr>
          <w:rFonts w:eastAsia="宋体"/>
          <w:sz w:val="20"/>
          <w:lang w:val="en-GB"/>
        </w:rPr>
        <w:t>;</w:t>
      </w:r>
    </w:p>
    <w:p>
      <w:pPr>
        <w:numPr>
          <w:ilvl w:val="0"/>
          <w:numId w:val="4"/>
        </w:numPr>
        <w:spacing w:after="120"/>
        <w:rPr>
          <w:rFonts w:eastAsia="宋体"/>
          <w:sz w:val="20"/>
          <w:lang w:val="en-GB"/>
        </w:rPr>
      </w:pPr>
      <w:r>
        <w:rPr>
          <w:rFonts w:eastAsia="宋体"/>
          <w:sz w:val="20"/>
          <w:lang w:val="en-GB"/>
        </w:rPr>
        <w:t>Other options not precluded</w:t>
      </w:r>
    </w:p>
    <w:p>
      <w:pPr>
        <w:rPr>
          <w:b/>
          <w:sz w:val="20"/>
          <w:szCs w:val="20"/>
          <w:u w:val="single"/>
          <w:lang w:eastAsia="ko-KR"/>
        </w:rPr>
      </w:pPr>
      <w:r>
        <w:rPr>
          <w:rFonts w:hint="eastAsia"/>
          <w:b/>
          <w:sz w:val="20"/>
          <w:szCs w:val="20"/>
          <w:u w:val="single"/>
          <w:lang w:eastAsia="ko-KR"/>
        </w:rPr>
        <w:t>Issue 1-4: Applicability rule for antenna configuration</w:t>
      </w:r>
    </w:p>
    <w:p>
      <w:pPr>
        <w:spacing w:after="60"/>
        <w:rPr>
          <w:b/>
          <w:sz w:val="20"/>
          <w:szCs w:val="20"/>
          <w:u w:val="single"/>
          <w:lang w:eastAsia="ko-KR"/>
        </w:rPr>
      </w:pPr>
      <w:r>
        <w:rPr>
          <w:rFonts w:eastAsiaTheme="minorEastAsia"/>
          <w:b/>
          <w:iCs/>
          <w:sz w:val="20"/>
          <w:szCs w:val="20"/>
        </w:rPr>
        <w:t>Agreement:</w:t>
      </w:r>
    </w:p>
    <w:p>
      <w:pPr>
        <w:numPr>
          <w:ilvl w:val="0"/>
          <w:numId w:val="4"/>
        </w:numPr>
        <w:spacing w:after="120"/>
        <w:rPr>
          <w:rFonts w:eastAsia="宋体"/>
          <w:sz w:val="20"/>
          <w:lang w:val="en-GB" w:eastAsia="ko-KR"/>
        </w:rPr>
      </w:pPr>
      <w:r>
        <w:rPr>
          <w:rFonts w:hint="eastAsia" w:eastAsia="宋体"/>
          <w:sz w:val="20"/>
          <w:lang w:val="en-GB"/>
        </w:rPr>
        <w:t xml:space="preserve">2Rx can be skipped if the test of 4Rx is passed for the ATG CPE supporting both 2Rx and 4Rx </w:t>
      </w:r>
    </w:p>
    <w:p>
      <w:pPr>
        <w:rPr>
          <w:b/>
          <w:sz w:val="20"/>
          <w:szCs w:val="20"/>
          <w:u w:val="single"/>
          <w:lang w:eastAsia="ko-KR"/>
        </w:rPr>
      </w:pPr>
      <w:r>
        <w:rPr>
          <w:b/>
          <w:sz w:val="20"/>
          <w:szCs w:val="20"/>
          <w:u w:val="single"/>
          <w:lang w:eastAsia="ko-KR"/>
        </w:rPr>
        <w:t>Issue 1-</w:t>
      </w:r>
      <w:r>
        <w:rPr>
          <w:rFonts w:hint="eastAsia" w:eastAsia="宋体"/>
          <w:b/>
          <w:sz w:val="20"/>
          <w:szCs w:val="20"/>
          <w:u w:val="single"/>
        </w:rPr>
        <w:t>5</w:t>
      </w:r>
      <w:r>
        <w:rPr>
          <w:b/>
          <w:sz w:val="20"/>
          <w:szCs w:val="20"/>
          <w:u w:val="single"/>
          <w:lang w:eastAsia="ko-KR"/>
        </w:rPr>
        <w:t>: Specification impact</w:t>
      </w:r>
    </w:p>
    <w:p>
      <w:pPr>
        <w:spacing w:after="120"/>
        <w:rPr>
          <w:rFonts w:eastAsia="宋体"/>
          <w:sz w:val="20"/>
          <w:lang w:val="en-GB"/>
        </w:rPr>
      </w:pPr>
      <w:r>
        <w:rPr>
          <w:rFonts w:hint="eastAsia" w:eastAsia="宋体"/>
          <w:sz w:val="20"/>
        </w:rPr>
        <w:t>For ATG UE demodulation requirements</w:t>
      </w:r>
    </w:p>
    <w:p>
      <w:pPr>
        <w:numPr>
          <w:ilvl w:val="0"/>
          <w:numId w:val="4"/>
        </w:numPr>
        <w:spacing w:after="120"/>
        <w:rPr>
          <w:rFonts w:eastAsia="宋体"/>
          <w:sz w:val="20"/>
          <w:lang w:val="en-GB"/>
        </w:rPr>
      </w:pPr>
      <w:r>
        <w:rPr>
          <w:rFonts w:hint="eastAsia" w:eastAsia="宋体"/>
          <w:sz w:val="20"/>
          <w:lang w:val="en-GB"/>
        </w:rPr>
        <w:t>Option 1: Introduce a new section under each physical channel for ATG UE demodulation requirements.</w:t>
      </w:r>
    </w:p>
    <w:p>
      <w:pPr>
        <w:numPr>
          <w:ilvl w:val="0"/>
          <w:numId w:val="4"/>
        </w:numPr>
        <w:spacing w:after="120"/>
        <w:rPr>
          <w:rFonts w:eastAsia="宋体"/>
          <w:sz w:val="20"/>
          <w:lang w:val="en-GB"/>
        </w:rPr>
      </w:pPr>
      <w:r>
        <w:rPr>
          <w:rFonts w:hint="eastAsia" w:eastAsia="宋体"/>
          <w:sz w:val="20"/>
        </w:rPr>
        <w:t>Option 2:</w:t>
      </w:r>
    </w:p>
    <w:p>
      <w:pPr>
        <w:numPr>
          <w:ilvl w:val="1"/>
          <w:numId w:val="4"/>
        </w:numPr>
        <w:spacing w:after="120"/>
        <w:rPr>
          <w:rFonts w:eastAsia="宋体"/>
          <w:sz w:val="20"/>
          <w:lang w:val="en-GB"/>
        </w:rPr>
      </w:pPr>
      <w:r>
        <w:rPr>
          <w:rFonts w:hint="eastAsia" w:eastAsia="宋体"/>
          <w:sz w:val="20"/>
        </w:rPr>
        <w:t>New clause for ATG applicability of requirements should be introduced</w:t>
      </w:r>
    </w:p>
    <w:p>
      <w:pPr>
        <w:numPr>
          <w:ilvl w:val="1"/>
          <w:numId w:val="4"/>
        </w:numPr>
        <w:spacing w:after="120"/>
        <w:rPr>
          <w:rFonts w:eastAsia="宋体"/>
          <w:sz w:val="20"/>
          <w:lang w:val="en-GB"/>
        </w:rPr>
      </w:pPr>
      <w:r>
        <w:rPr>
          <w:rFonts w:hint="eastAsia" w:eastAsia="宋体"/>
          <w:sz w:val="20"/>
        </w:rPr>
        <w:t>New clauses for ATG new incremental PDSCH requirements should be introduced</w:t>
      </w:r>
    </w:p>
    <w:p>
      <w:pPr>
        <w:spacing w:after="120"/>
        <w:rPr>
          <w:rFonts w:eastAsia="宋体"/>
          <w:sz w:val="20"/>
          <w:lang w:val="en-GB"/>
        </w:rPr>
      </w:pPr>
      <w:r>
        <w:rPr>
          <w:rFonts w:hint="eastAsia" w:eastAsia="宋体"/>
          <w:sz w:val="20"/>
        </w:rPr>
        <w:t>For ATG BS demodulation requirements</w:t>
      </w:r>
    </w:p>
    <w:p>
      <w:pPr>
        <w:numPr>
          <w:ilvl w:val="0"/>
          <w:numId w:val="4"/>
        </w:numPr>
        <w:spacing w:after="120"/>
        <w:rPr>
          <w:rFonts w:eastAsia="宋体"/>
          <w:sz w:val="20"/>
          <w:lang w:val="en-GB"/>
        </w:rPr>
      </w:pPr>
      <w:r>
        <w:rPr>
          <w:rFonts w:hint="eastAsia" w:eastAsia="宋体"/>
          <w:sz w:val="20"/>
        </w:rPr>
        <w:t xml:space="preserve">Option 1: </w:t>
      </w:r>
      <w:r>
        <w:rPr>
          <w:rFonts w:hint="eastAsia" w:eastAsia="宋体"/>
          <w:sz w:val="20"/>
          <w:lang w:val="en-GB"/>
        </w:rPr>
        <w:t>Add a new section for ATG PUSCH demodulation requirements. In this section, clarifications for how to reuse legacy applicability rules and requirements should be added, and new defined PUSCH demodulation requirements could be captured.</w:t>
      </w:r>
    </w:p>
    <w:p>
      <w:pPr>
        <w:numPr>
          <w:ilvl w:val="0"/>
          <w:numId w:val="4"/>
        </w:numPr>
        <w:spacing w:after="120"/>
        <w:rPr>
          <w:rFonts w:eastAsia="宋体"/>
          <w:sz w:val="20"/>
          <w:lang w:val="en-GB"/>
        </w:rPr>
      </w:pPr>
      <w:r>
        <w:rPr>
          <w:rFonts w:hint="eastAsia" w:eastAsia="宋体"/>
          <w:sz w:val="20"/>
        </w:rPr>
        <w:t>Option 2:</w:t>
      </w:r>
    </w:p>
    <w:p>
      <w:pPr>
        <w:numPr>
          <w:ilvl w:val="1"/>
          <w:numId w:val="4"/>
        </w:numPr>
        <w:spacing w:after="120"/>
        <w:rPr>
          <w:rFonts w:eastAsia="宋体"/>
          <w:sz w:val="20"/>
          <w:lang w:val="en-GB"/>
        </w:rPr>
      </w:pPr>
      <w:r>
        <w:rPr>
          <w:rFonts w:hint="eastAsia" w:eastAsia="宋体"/>
          <w:sz w:val="20"/>
        </w:rPr>
        <w:t>New clause for ATG new incremental PUSCH requirements should be introduced in 38.104</w:t>
      </w:r>
    </w:p>
    <w:p>
      <w:pPr>
        <w:numPr>
          <w:ilvl w:val="1"/>
          <w:numId w:val="4"/>
        </w:numPr>
        <w:spacing w:after="120"/>
        <w:rPr>
          <w:rFonts w:eastAsia="宋体"/>
          <w:sz w:val="20"/>
          <w:lang w:val="en-GB"/>
        </w:rPr>
      </w:pPr>
      <w:r>
        <w:rPr>
          <w:rFonts w:hint="eastAsia" w:eastAsia="宋体"/>
          <w:sz w:val="20"/>
        </w:rPr>
        <w:t>New clause for ATG applicability of PUSCH requirements should be introduced in 38.141-1 and 38.141-2</w:t>
      </w:r>
    </w:p>
    <w:p>
      <w:pPr>
        <w:numPr>
          <w:ilvl w:val="1"/>
          <w:numId w:val="4"/>
        </w:numPr>
        <w:spacing w:after="120"/>
        <w:rPr>
          <w:rFonts w:eastAsia="宋体"/>
          <w:sz w:val="20"/>
          <w:lang w:val="en-GB"/>
        </w:rPr>
      </w:pPr>
      <w:r>
        <w:rPr>
          <w:rFonts w:hint="eastAsia" w:eastAsia="宋体"/>
          <w:sz w:val="20"/>
        </w:rPr>
        <w:t>New clause for ATG applicability of PUCCH requirements should be introduced in 38.141-1 and 38.141-2</w:t>
      </w:r>
    </w:p>
    <w:p>
      <w:pPr>
        <w:numPr>
          <w:ilvl w:val="1"/>
          <w:numId w:val="4"/>
        </w:numPr>
        <w:spacing w:after="120"/>
        <w:rPr>
          <w:rFonts w:eastAsia="宋体"/>
          <w:sz w:val="20"/>
          <w:lang w:val="en-GB"/>
        </w:rPr>
      </w:pPr>
      <w:r>
        <w:rPr>
          <w:rFonts w:hint="eastAsia" w:eastAsia="宋体"/>
          <w:sz w:val="20"/>
        </w:rPr>
        <w:t>New clause for ATG applicability of PUCCH requirements should be introduced in 38.141-1 and 38.141-2</w:t>
      </w:r>
    </w:p>
    <w:p>
      <w:pPr>
        <w:numPr>
          <w:ilvl w:val="0"/>
          <w:numId w:val="4"/>
        </w:numPr>
        <w:spacing w:after="120"/>
        <w:rPr>
          <w:rFonts w:eastAsia="宋体"/>
          <w:sz w:val="20"/>
          <w:lang w:val="en-GB"/>
        </w:rPr>
      </w:pPr>
      <w:r>
        <w:rPr>
          <w:rFonts w:hint="eastAsia" w:eastAsia="宋体"/>
          <w:sz w:val="20"/>
        </w:rPr>
        <w:t xml:space="preserve">Option 3: Capture ATG demodulation requirement into the same section with legacy requirement to minimize the effort of specification modification with adding the referring statement as “The following requirements in sections of 8.2.1 and 8.2.3 can be applied for BS declared to support ATG scenario”. New dedicated requirement can be added into the corresponding table in section 8.2.1 </w:t>
      </w:r>
    </w:p>
    <w:p>
      <w:pPr>
        <w:rPr>
          <w:b/>
          <w:sz w:val="20"/>
          <w:szCs w:val="20"/>
          <w:u w:val="single"/>
        </w:rPr>
      </w:pPr>
      <w:r>
        <w:rPr>
          <w:b/>
          <w:sz w:val="20"/>
          <w:szCs w:val="20"/>
          <w:u w:val="single"/>
          <w:lang w:eastAsia="ko-KR"/>
        </w:rPr>
        <w:t>Issue 1</w:t>
      </w:r>
      <w:r>
        <w:rPr>
          <w:rFonts w:hint="eastAsia"/>
          <w:b/>
          <w:sz w:val="20"/>
          <w:szCs w:val="20"/>
          <w:u w:val="single"/>
        </w:rPr>
        <w:t>-6</w:t>
      </w:r>
      <w:r>
        <w:rPr>
          <w:b/>
          <w:sz w:val="20"/>
          <w:szCs w:val="20"/>
          <w:u w:val="single"/>
          <w:lang w:eastAsia="ko-KR"/>
        </w:rPr>
        <w:t xml:space="preserve">: </w:t>
      </w:r>
      <w:r>
        <w:rPr>
          <w:rFonts w:hint="eastAsia"/>
          <w:b/>
          <w:sz w:val="20"/>
          <w:szCs w:val="20"/>
          <w:u w:val="single"/>
        </w:rPr>
        <w:t>M</w:t>
      </w:r>
      <w:r>
        <w:rPr>
          <w:b/>
          <w:sz w:val="20"/>
          <w:szCs w:val="20"/>
          <w:u w:val="single"/>
          <w:lang w:eastAsia="ko-KR"/>
        </w:rPr>
        <w:t>anufactory declaration</w:t>
      </w:r>
      <w:r>
        <w:rPr>
          <w:rFonts w:hint="eastAsia"/>
          <w:b/>
          <w:sz w:val="20"/>
          <w:szCs w:val="20"/>
          <w:u w:val="single"/>
        </w:rPr>
        <w:t xml:space="preserve"> for ATG BS</w:t>
      </w:r>
    </w:p>
    <w:p>
      <w:pPr>
        <w:spacing w:after="60"/>
        <w:rPr>
          <w:b/>
          <w:sz w:val="20"/>
          <w:szCs w:val="20"/>
          <w:u w:val="single"/>
          <w:lang w:eastAsia="ko-KR"/>
        </w:rPr>
      </w:pPr>
      <w:r>
        <w:rPr>
          <w:rFonts w:eastAsiaTheme="minorEastAsia"/>
          <w:b/>
          <w:iCs/>
          <w:sz w:val="20"/>
          <w:szCs w:val="20"/>
        </w:rPr>
        <w:t>Agreement:</w:t>
      </w:r>
    </w:p>
    <w:p>
      <w:pPr>
        <w:numPr>
          <w:ilvl w:val="0"/>
          <w:numId w:val="4"/>
        </w:numPr>
        <w:spacing w:after="120"/>
        <w:rPr>
          <w:rFonts w:eastAsia="宋体"/>
          <w:sz w:val="20"/>
        </w:rPr>
      </w:pPr>
      <w:r>
        <w:rPr>
          <w:rFonts w:hint="eastAsia" w:eastAsia="宋体"/>
          <w:sz w:val="20"/>
        </w:rPr>
        <w:t>Introduce a new manufactory declaration for ATG BS. I.e., in TS38.141-1</w:t>
      </w:r>
    </w:p>
    <w:tbl>
      <w:tblPr>
        <w:tblStyle w:val="19"/>
        <w:tblW w:w="6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8"/>
        <w:gridCol w:w="1940"/>
        <w:gridCol w:w="2504"/>
        <w:gridCol w:w="437"/>
        <w:gridCol w:w="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8" w:type="dxa"/>
          </w:tcPr>
          <w:p>
            <w:pPr>
              <w:pStyle w:val="56"/>
              <w:rPr>
                <w:rFonts w:ascii="Times New Roman" w:hAnsi="Times New Roman"/>
                <w:lang w:eastAsia="zh-CN"/>
              </w:rPr>
            </w:pPr>
            <w:r>
              <w:rPr>
                <w:rFonts w:ascii="Times New Roman" w:hAnsi="Times New Roman"/>
                <w:lang w:eastAsia="zh-CN"/>
              </w:rPr>
              <w:t>D.xxx</w:t>
            </w:r>
          </w:p>
        </w:tc>
        <w:tc>
          <w:tcPr>
            <w:tcW w:w="1940" w:type="dxa"/>
          </w:tcPr>
          <w:p>
            <w:pPr>
              <w:pStyle w:val="56"/>
              <w:rPr>
                <w:rFonts w:ascii="Times New Roman" w:hAnsi="Times New Roman"/>
                <w:szCs w:val="18"/>
                <w:lang w:eastAsia="zh-CN"/>
              </w:rPr>
            </w:pPr>
            <w:r>
              <w:rPr>
                <w:rFonts w:ascii="Times New Roman" w:hAnsi="Times New Roman"/>
                <w:lang w:eastAsia="zh-CN"/>
              </w:rPr>
              <w:t>Air-to-ground scenario</w:t>
            </w:r>
          </w:p>
        </w:tc>
        <w:tc>
          <w:tcPr>
            <w:tcW w:w="2504" w:type="dxa"/>
          </w:tcPr>
          <w:p>
            <w:pPr>
              <w:pStyle w:val="56"/>
              <w:rPr>
                <w:rFonts w:ascii="Times New Roman" w:hAnsi="Times New Roman"/>
                <w:szCs w:val="18"/>
                <w:lang w:eastAsia="zh-CN"/>
              </w:rPr>
            </w:pPr>
            <w:r>
              <w:rPr>
                <w:rFonts w:ascii="Times New Roman" w:hAnsi="Times New Roman"/>
                <w:lang w:eastAsia="zh-CN"/>
              </w:rPr>
              <w:t>Declaration of air-to-ground scenario support, i.e. ATG support or no ATG support</w:t>
            </w:r>
          </w:p>
        </w:tc>
        <w:tc>
          <w:tcPr>
            <w:tcW w:w="437" w:type="dxa"/>
          </w:tcPr>
          <w:p>
            <w:pPr>
              <w:pStyle w:val="56"/>
              <w:rPr>
                <w:rFonts w:ascii="Times New Roman" w:hAnsi="Times New Roman"/>
              </w:rPr>
            </w:pPr>
            <w:r>
              <w:rPr>
                <w:rFonts w:ascii="Times New Roman" w:hAnsi="Times New Roman"/>
                <w:lang w:eastAsia="zh-CN"/>
              </w:rPr>
              <w:t>x</w:t>
            </w:r>
          </w:p>
        </w:tc>
        <w:tc>
          <w:tcPr>
            <w:tcW w:w="378" w:type="dxa"/>
          </w:tcPr>
          <w:p>
            <w:pPr>
              <w:pStyle w:val="56"/>
              <w:rPr>
                <w:rFonts w:ascii="Times New Roman" w:hAnsi="Times New Roman"/>
                <w:szCs w:val="18"/>
                <w:lang w:eastAsia="zh-CN"/>
              </w:rPr>
            </w:pPr>
            <w:r>
              <w:rPr>
                <w:rFonts w:ascii="Times New Roman" w:hAnsi="Times New Roman"/>
                <w:szCs w:val="18"/>
                <w:lang w:eastAsia="zh-CN"/>
              </w:rPr>
              <w:t>x</w:t>
            </w:r>
          </w:p>
        </w:tc>
      </w:tr>
      <w:bookmarkEnd w:id="5"/>
      <w:bookmarkEnd w:id="6"/>
      <w:bookmarkEnd w:id="7"/>
    </w:tbl>
    <w:p>
      <w:pPr>
        <w:rPr>
          <w:rFonts w:eastAsiaTheme="minorEastAsia"/>
          <w:lang w:val="en-GB"/>
        </w:rPr>
      </w:pPr>
    </w:p>
    <w:p>
      <w:pPr>
        <w:pStyle w:val="2"/>
        <w:numPr>
          <w:ilvl w:val="0"/>
          <w:numId w:val="3"/>
        </w:numPr>
        <w:pBdr>
          <w:top w:val="single" w:color="auto" w:sz="12" w:space="3"/>
        </w:pBdr>
        <w:spacing w:before="240" w:after="180" w:line="240" w:lineRule="auto"/>
        <w:rPr>
          <w:rFonts w:cs="Arial"/>
          <w:b w:val="0"/>
          <w:bCs w:val="0"/>
          <w:kern w:val="0"/>
          <w:sz w:val="28"/>
          <w:szCs w:val="28"/>
          <w:lang w:val="en-GB"/>
        </w:rPr>
      </w:pPr>
      <w:r>
        <w:rPr>
          <w:rFonts w:cs="Arial"/>
          <w:b w:val="0"/>
          <w:bCs w:val="0"/>
          <w:kern w:val="0"/>
          <w:sz w:val="28"/>
          <w:szCs w:val="28"/>
          <w:lang w:val="en-GB"/>
        </w:rPr>
        <w:t>UE demodulation</w:t>
      </w:r>
    </w:p>
    <w:p>
      <w:pPr>
        <w:pStyle w:val="2"/>
        <w:numPr>
          <w:ilvl w:val="1"/>
          <w:numId w:val="3"/>
        </w:numPr>
        <w:pBdr>
          <w:top w:val="single" w:color="auto" w:sz="12" w:space="3"/>
        </w:pBdr>
        <w:spacing w:before="180" w:after="180" w:line="240" w:lineRule="auto"/>
        <w:rPr>
          <w:rFonts w:cs="Arial"/>
          <w:b w:val="0"/>
          <w:bCs w:val="0"/>
          <w:kern w:val="0"/>
          <w:sz w:val="24"/>
          <w:szCs w:val="24"/>
          <w:lang w:val="en-GB"/>
        </w:rPr>
      </w:pPr>
      <w:bookmarkStart w:id="8" w:name="_Hlk128664768"/>
      <w:r>
        <w:rPr>
          <w:rFonts w:cs="Arial"/>
          <w:b w:val="0"/>
          <w:bCs w:val="0"/>
          <w:kern w:val="0"/>
          <w:sz w:val="24"/>
          <w:szCs w:val="24"/>
          <w:lang w:val="en-GB"/>
        </w:rPr>
        <w:t>PDSCH requirements</w:t>
      </w:r>
    </w:p>
    <w:bookmarkEnd w:id="8"/>
    <w:p>
      <w:pPr>
        <w:rPr>
          <w:b/>
          <w:sz w:val="20"/>
          <w:szCs w:val="20"/>
          <w:u w:val="single"/>
          <w:lang w:eastAsia="ko-KR"/>
        </w:rPr>
      </w:pPr>
      <w:r>
        <w:rPr>
          <w:rFonts w:hint="eastAsia"/>
          <w:b/>
          <w:sz w:val="20"/>
          <w:szCs w:val="20"/>
          <w:u w:val="single"/>
          <w:lang w:eastAsia="ko-KR"/>
        </w:rPr>
        <w:t>Issue 2-1-1: MCS</w:t>
      </w:r>
    </w:p>
    <w:p>
      <w:pPr>
        <w:spacing w:after="60"/>
        <w:rPr>
          <w:b/>
          <w:sz w:val="20"/>
          <w:szCs w:val="20"/>
          <w:highlight w:val="yellow"/>
          <w:u w:val="single"/>
          <w:lang w:eastAsia="ko-KR"/>
        </w:rPr>
      </w:pPr>
      <w:r>
        <w:rPr>
          <w:rFonts w:eastAsiaTheme="minorEastAsia"/>
          <w:b/>
          <w:iCs/>
          <w:sz w:val="20"/>
          <w:szCs w:val="20"/>
        </w:rPr>
        <w:t>Agreement:</w:t>
      </w:r>
    </w:p>
    <w:p>
      <w:pPr>
        <w:numPr>
          <w:ilvl w:val="0"/>
          <w:numId w:val="4"/>
        </w:numPr>
        <w:spacing w:after="120"/>
        <w:rPr>
          <w:rFonts w:eastAsia="宋体"/>
          <w:sz w:val="20"/>
          <w:lang w:eastAsia="ko-KR"/>
        </w:rPr>
      </w:pPr>
      <w:r>
        <w:rPr>
          <w:rFonts w:hint="eastAsia" w:eastAsia="宋体"/>
          <w:sz w:val="20"/>
        </w:rPr>
        <w:t>Consider MCS24 (Table-2) for defining requirements for 256QAM</w:t>
      </w:r>
    </w:p>
    <w:p>
      <w:pPr>
        <w:rPr>
          <w:b/>
          <w:sz w:val="20"/>
          <w:szCs w:val="20"/>
          <w:u w:val="single"/>
          <w:lang w:eastAsia="ko-KR"/>
        </w:rPr>
      </w:pPr>
      <w:r>
        <w:rPr>
          <w:rFonts w:hint="eastAsia"/>
          <w:b/>
          <w:sz w:val="20"/>
          <w:szCs w:val="20"/>
          <w:u w:val="single"/>
          <w:lang w:eastAsia="ko-KR"/>
        </w:rPr>
        <w:t>Issue 2-1-2: Test scope for PDSCH</w:t>
      </w:r>
    </w:p>
    <w:p>
      <w:pPr>
        <w:spacing w:after="60"/>
        <w:rPr>
          <w:b/>
          <w:sz w:val="20"/>
          <w:szCs w:val="20"/>
          <w:highlight w:val="yellow"/>
          <w:u w:val="single"/>
          <w:lang w:eastAsia="ko-KR"/>
        </w:rPr>
      </w:pPr>
      <w:r>
        <w:rPr>
          <w:rFonts w:eastAsiaTheme="minorEastAsia"/>
          <w:b/>
          <w:iCs/>
          <w:sz w:val="20"/>
          <w:szCs w:val="20"/>
        </w:rPr>
        <w:t>Agreement:</w:t>
      </w:r>
    </w:p>
    <w:p>
      <w:pPr>
        <w:numPr>
          <w:ilvl w:val="0"/>
          <w:numId w:val="4"/>
        </w:numPr>
        <w:spacing w:after="120"/>
        <w:rPr>
          <w:rFonts w:eastAsia="宋体"/>
          <w:sz w:val="20"/>
        </w:rPr>
      </w:pPr>
      <w:r>
        <w:rPr>
          <w:rFonts w:hint="eastAsia" w:eastAsia="宋体"/>
          <w:sz w:val="20"/>
        </w:rPr>
        <w:t>For new incremental requirements:</w:t>
      </w:r>
    </w:p>
    <w:p>
      <w:pPr>
        <w:numPr>
          <w:ilvl w:val="1"/>
          <w:numId w:val="4"/>
        </w:numPr>
        <w:spacing w:after="120"/>
        <w:rPr>
          <w:rFonts w:eastAsia="宋体"/>
          <w:sz w:val="20"/>
        </w:rPr>
      </w:pPr>
      <w:r>
        <w:rPr>
          <w:rFonts w:hint="eastAsia" w:eastAsia="宋体"/>
          <w:sz w:val="20"/>
        </w:rPr>
        <w:t xml:space="preserve">introduces </w:t>
      </w:r>
      <w:r>
        <w:rPr>
          <w:rFonts w:hint="eastAsia" w:eastAsia="宋体"/>
          <w:sz w:val="20"/>
          <w:lang w:eastAsia="ja-JP"/>
        </w:rPr>
        <w:t>following test cases for new PDSCH requirements</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6"/>
        <w:gridCol w:w="989"/>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FDD</w:t>
            </w:r>
          </w:p>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10 MHz 15kHz SCS</w:t>
            </w:r>
          </w:p>
        </w:tc>
        <w:tc>
          <w:tcPr>
            <w:tcW w:w="989" w:type="dxa"/>
            <w:vMerge w:val="restart"/>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2T2R, 2T4R</w:t>
            </w: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6"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p>
        </w:tc>
        <w:tc>
          <w:tcPr>
            <w:tcW w:w="989" w:type="dxa"/>
            <w:vMerge w:val="continue"/>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p>
        </w:tc>
        <w:tc>
          <w:tcPr>
            <w:tcW w:w="3119" w:type="dxa"/>
            <w:tcBorders>
              <w:top w:val="single" w:color="auto" w:sz="4" w:space="0"/>
              <w:left w:val="single" w:color="auto" w:sz="4" w:space="0"/>
              <w:bottom w:val="single" w:color="auto" w:sz="4" w:space="0"/>
              <w:right w:val="single" w:color="auto" w:sz="4" w:space="0"/>
            </w:tcBorders>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256QAM (MCS [</w:t>
            </w:r>
            <w:r>
              <w:rPr>
                <w:rFonts w:hint="eastAsia"/>
                <w:bCs/>
                <w:sz w:val="20"/>
                <w:szCs w:val="20"/>
                <w:u w:val="single"/>
              </w:rPr>
              <w:t>24</w:t>
            </w:r>
            <w:r>
              <w:rPr>
                <w:rFonts w:eastAsia="Yu Mincho"/>
                <w:bCs/>
                <w:sz w:val="20"/>
                <w:szCs w:val="20"/>
                <w:u w:val="single"/>
                <w:lang w:eastAsia="en-GB"/>
              </w:rPr>
              <w:t>] in table 2)</w:t>
            </w:r>
          </w:p>
        </w:tc>
      </w:tr>
    </w:tbl>
    <w:p>
      <w:pPr>
        <w:pStyle w:val="74"/>
        <w:ind w:left="720" w:firstLine="0" w:firstLineChars="0"/>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1"/>
        <w:gridCol w:w="1824"/>
        <w:gridCol w:w="1020"/>
        <w:gridCol w:w="3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861"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TDD</w:t>
            </w:r>
          </w:p>
          <w:p>
            <w:pPr>
              <w:spacing w:before="120" w:line="280" w:lineRule="atLeast"/>
              <w:jc w:val="center"/>
              <w:rPr>
                <w:rFonts w:eastAsia="Yu Mincho"/>
                <w:bCs/>
                <w:sz w:val="20"/>
                <w:szCs w:val="20"/>
                <w:u w:val="single"/>
                <w:lang w:eastAsia="en-GB"/>
              </w:rPr>
            </w:pPr>
            <w:r>
              <w:rPr>
                <w:rFonts w:hint="eastAsia"/>
                <w:bCs/>
                <w:sz w:val="20"/>
                <w:szCs w:val="20"/>
                <w:u w:val="single"/>
                <w:lang w:eastAsia="en-GB"/>
              </w:rPr>
              <w:t>40</w:t>
            </w:r>
            <w:r>
              <w:rPr>
                <w:rFonts w:eastAsia="Yu Mincho"/>
                <w:bCs/>
                <w:sz w:val="20"/>
                <w:szCs w:val="20"/>
                <w:u w:val="single"/>
                <w:lang w:eastAsia="en-GB"/>
              </w:rPr>
              <w:t>MHz 30kHz SCS</w:t>
            </w:r>
          </w:p>
        </w:tc>
        <w:tc>
          <w:tcPr>
            <w:tcW w:w="1824" w:type="dxa"/>
            <w:vMerge w:val="restart"/>
            <w:tcBorders>
              <w:top w:val="single" w:color="auto" w:sz="4" w:space="0"/>
              <w:left w:val="single" w:color="auto" w:sz="4" w:space="0"/>
              <w:right w:val="single" w:color="auto" w:sz="4" w:space="0"/>
            </w:tcBorders>
            <w:vAlign w:val="center"/>
          </w:tcPr>
          <w:p>
            <w:pPr>
              <w:spacing w:before="120" w:line="280" w:lineRule="atLeast"/>
              <w:jc w:val="center"/>
              <w:rPr>
                <w:bCs/>
                <w:sz w:val="20"/>
                <w:szCs w:val="20"/>
                <w:u w:val="single"/>
                <w:lang w:eastAsia="en-GB"/>
              </w:rPr>
            </w:pPr>
            <w:r>
              <w:rPr>
                <w:bCs/>
                <w:sz w:val="20"/>
                <w:szCs w:val="20"/>
                <w:u w:val="single"/>
                <w:lang w:eastAsia="en-GB"/>
              </w:rPr>
              <w:t>7D1S2U</w:t>
            </w:r>
          </w:p>
          <w:p>
            <w:pPr>
              <w:spacing w:before="120" w:line="280" w:lineRule="atLeast"/>
              <w:jc w:val="center"/>
              <w:rPr>
                <w:bCs/>
                <w:sz w:val="20"/>
                <w:szCs w:val="20"/>
                <w:u w:val="single"/>
              </w:rPr>
            </w:pPr>
            <w:r>
              <w:rPr>
                <w:rFonts w:hint="eastAsia"/>
                <w:bCs/>
                <w:sz w:val="20"/>
                <w:szCs w:val="20"/>
                <w:u w:val="single"/>
              </w:rPr>
              <w:t>&amp;</w:t>
            </w:r>
          </w:p>
          <w:p>
            <w:pPr>
              <w:spacing w:before="120" w:line="280" w:lineRule="atLeast"/>
              <w:jc w:val="center"/>
              <w:rPr>
                <w:rFonts w:eastAsia="Yu Mincho"/>
                <w:bCs/>
                <w:sz w:val="20"/>
                <w:szCs w:val="20"/>
                <w:u w:val="single"/>
                <w:lang w:eastAsia="en-GB"/>
              </w:rPr>
            </w:pPr>
            <w:r>
              <w:rPr>
                <w:bCs/>
                <w:sz w:val="20"/>
                <w:szCs w:val="20"/>
                <w:u w:val="single"/>
                <w:lang w:eastAsia="en-GB"/>
              </w:rPr>
              <w:t>N</w:t>
            </w:r>
            <w:r>
              <w:rPr>
                <w:rFonts w:hint="eastAsia"/>
                <w:bCs/>
                <w:sz w:val="20"/>
                <w:szCs w:val="20"/>
                <w:u w:val="single"/>
                <w:lang w:eastAsia="en-GB"/>
              </w:rPr>
              <w:t>ew TDD pattern</w:t>
            </w:r>
            <w:r>
              <w:rPr>
                <w:bCs/>
                <w:sz w:val="20"/>
                <w:szCs w:val="20"/>
                <w:u w:val="single"/>
                <w:lang w:eastAsia="en-GB"/>
              </w:rPr>
              <w:t xml:space="preserve"> for ATG specific scenario e.g. flexible TDD configuration or </w:t>
            </w:r>
            <w:r>
              <w:rPr>
                <w:rFonts w:hint="eastAsia"/>
                <w:bCs/>
                <w:sz w:val="20"/>
                <w:szCs w:val="20"/>
                <w:u w:val="single"/>
                <w:lang w:eastAsia="en-GB"/>
              </w:rPr>
              <w:t xml:space="preserve"> </w:t>
            </w:r>
            <w:r>
              <w:rPr>
                <w:rFonts w:eastAsia="Yu Mincho"/>
                <w:bCs/>
                <w:sz w:val="20"/>
                <w:szCs w:val="20"/>
                <w:u w:val="single"/>
                <w:lang w:eastAsia="en-GB"/>
              </w:rPr>
              <w:t>30D4S6U(if introduced)</w:t>
            </w:r>
          </w:p>
        </w:tc>
        <w:tc>
          <w:tcPr>
            <w:tcW w:w="1020" w:type="dxa"/>
            <w:vMerge w:val="restart"/>
            <w:tcBorders>
              <w:top w:val="single" w:color="auto" w:sz="4" w:space="0"/>
              <w:left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2T2R, 2T4R</w:t>
            </w: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16QAM (MCS [13]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861" w:type="dxa"/>
            <w:vMerge w:val="continue"/>
            <w:tcBorders>
              <w:left w:val="single" w:color="auto" w:sz="4" w:space="0"/>
              <w:right w:val="single" w:color="auto" w:sz="4" w:space="0"/>
            </w:tcBorders>
            <w:vAlign w:val="center"/>
          </w:tcPr>
          <w:p>
            <w:pPr>
              <w:spacing w:before="120" w:line="280" w:lineRule="atLeast"/>
              <w:jc w:val="center"/>
              <w:rPr>
                <w:rFonts w:eastAsia="Yu Mincho"/>
                <w:bCs/>
                <w:sz w:val="20"/>
                <w:szCs w:val="20"/>
                <w:highlight w:val="green"/>
                <w:u w:val="single"/>
                <w:lang w:eastAsia="en-GB"/>
              </w:rPr>
            </w:pPr>
          </w:p>
        </w:tc>
        <w:tc>
          <w:tcPr>
            <w:tcW w:w="1824" w:type="dxa"/>
            <w:vMerge w:val="continue"/>
            <w:tcBorders>
              <w:left w:val="single" w:color="auto" w:sz="4" w:space="0"/>
              <w:right w:val="single" w:color="auto" w:sz="4" w:space="0"/>
            </w:tcBorders>
            <w:vAlign w:val="center"/>
          </w:tcPr>
          <w:p>
            <w:pPr>
              <w:spacing w:before="120" w:line="280" w:lineRule="atLeast"/>
              <w:jc w:val="center"/>
              <w:rPr>
                <w:bCs/>
                <w:sz w:val="20"/>
                <w:szCs w:val="20"/>
                <w:highlight w:val="green"/>
                <w:u w:val="single"/>
                <w:lang w:eastAsia="en-GB"/>
              </w:rPr>
            </w:pPr>
          </w:p>
        </w:tc>
        <w:tc>
          <w:tcPr>
            <w:tcW w:w="1020" w:type="dxa"/>
            <w:vMerge w:val="continue"/>
            <w:tcBorders>
              <w:left w:val="single" w:color="auto" w:sz="4" w:space="0"/>
              <w:right w:val="single" w:color="auto" w:sz="4" w:space="0"/>
            </w:tcBorders>
            <w:vAlign w:val="center"/>
          </w:tcPr>
          <w:p>
            <w:pPr>
              <w:spacing w:before="120" w:line="280" w:lineRule="atLeast"/>
              <w:jc w:val="center"/>
              <w:rPr>
                <w:rFonts w:eastAsia="Yu Mincho"/>
                <w:b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64QAM (MCS [22] in table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61"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highlight w:val="green"/>
                <w:u w:val="single"/>
                <w:lang w:eastAsia="en-GB"/>
              </w:rPr>
            </w:pPr>
          </w:p>
        </w:tc>
        <w:tc>
          <w:tcPr>
            <w:tcW w:w="1824" w:type="dxa"/>
            <w:vMerge w:val="continue"/>
            <w:tcBorders>
              <w:left w:val="single" w:color="auto" w:sz="4" w:space="0"/>
              <w:bottom w:val="single" w:color="auto" w:sz="4" w:space="0"/>
              <w:right w:val="single" w:color="auto" w:sz="4" w:space="0"/>
            </w:tcBorders>
            <w:vAlign w:val="center"/>
          </w:tcPr>
          <w:p>
            <w:pPr>
              <w:spacing w:before="120" w:line="280" w:lineRule="atLeast"/>
              <w:jc w:val="center"/>
              <w:rPr>
                <w:bCs/>
                <w:sz w:val="20"/>
                <w:szCs w:val="20"/>
                <w:highlight w:val="green"/>
                <w:u w:val="single"/>
                <w:lang w:eastAsia="en-GB"/>
              </w:rPr>
            </w:pPr>
          </w:p>
        </w:tc>
        <w:tc>
          <w:tcPr>
            <w:tcW w:w="1020" w:type="dxa"/>
            <w:vMerge w:val="continue"/>
            <w:tcBorders>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highlight w:val="green"/>
                <w:u w:val="single"/>
                <w:lang w:eastAsia="en-GB"/>
              </w:rPr>
            </w:pPr>
          </w:p>
        </w:tc>
        <w:tc>
          <w:tcPr>
            <w:tcW w:w="3125" w:type="dxa"/>
            <w:tcBorders>
              <w:top w:val="single" w:color="auto" w:sz="4" w:space="0"/>
              <w:left w:val="single" w:color="auto" w:sz="4" w:space="0"/>
              <w:bottom w:val="single" w:color="auto" w:sz="4" w:space="0"/>
              <w:right w:val="single" w:color="auto" w:sz="4" w:space="0"/>
            </w:tcBorders>
            <w:vAlign w:val="center"/>
          </w:tcPr>
          <w:p>
            <w:pPr>
              <w:spacing w:before="120" w:line="280" w:lineRule="atLeast"/>
              <w:jc w:val="center"/>
              <w:rPr>
                <w:rFonts w:eastAsia="Yu Mincho"/>
                <w:bCs/>
                <w:sz w:val="20"/>
                <w:szCs w:val="20"/>
                <w:u w:val="single"/>
                <w:lang w:eastAsia="en-GB"/>
              </w:rPr>
            </w:pPr>
            <w:r>
              <w:rPr>
                <w:rFonts w:eastAsia="Yu Mincho"/>
                <w:bCs/>
                <w:sz w:val="20"/>
                <w:szCs w:val="20"/>
                <w:u w:val="single"/>
                <w:lang w:eastAsia="en-GB"/>
              </w:rPr>
              <w:t>256QAM (MCS [</w:t>
            </w:r>
            <w:r>
              <w:rPr>
                <w:rFonts w:hint="eastAsia"/>
                <w:bCs/>
                <w:sz w:val="20"/>
                <w:szCs w:val="20"/>
                <w:u w:val="single"/>
              </w:rPr>
              <w:t>24</w:t>
            </w:r>
            <w:r>
              <w:rPr>
                <w:rFonts w:eastAsia="Yu Mincho"/>
                <w:bCs/>
                <w:sz w:val="20"/>
                <w:szCs w:val="20"/>
                <w:u w:val="single"/>
                <w:lang w:eastAsia="en-GB"/>
              </w:rPr>
              <w:t>] in table 2)</w:t>
            </w:r>
          </w:p>
        </w:tc>
      </w:tr>
    </w:tbl>
    <w:p>
      <w:pPr>
        <w:rPr>
          <w:b/>
          <w:sz w:val="20"/>
          <w:szCs w:val="20"/>
          <w:highlight w:val="yellow"/>
          <w:u w:val="single"/>
          <w:lang w:eastAsia="ko-KR"/>
        </w:rPr>
      </w:pPr>
    </w:p>
    <w:p>
      <w:pPr>
        <w:pStyle w:val="2"/>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PDCCH requirements</w:t>
      </w:r>
    </w:p>
    <w:p>
      <w:pPr>
        <w:rPr>
          <w:b/>
          <w:sz w:val="20"/>
          <w:szCs w:val="20"/>
          <w:u w:val="single"/>
          <w:lang w:eastAsia="ko-KR"/>
        </w:rPr>
      </w:pPr>
      <w:r>
        <w:rPr>
          <w:b/>
          <w:sz w:val="20"/>
          <w:szCs w:val="20"/>
          <w:u w:val="single"/>
          <w:lang w:eastAsia="ko-KR"/>
        </w:rPr>
        <w:t>Issue 2-2-1: Test scope for PDCCH</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Option 1: To consider legacy PDCCH requirements for ATG PDCCH requirements.</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FDD: All test cases in 5.3.2.1.2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FDD: All test cases in 5.3.3.1.2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TDD: All test cases in 5.3.2.2.2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TDD: All test cases in 5.3.3.2.2</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Option 2: Select following legacy test cases for ATG UEs</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1T2R FDD: Test number 2, 3 and 4 in 5.3.2.1.1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FDD: All test cases in 5.3.2.1.2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1T2R TDD: Test number 1 and 2 in 5.3.2.2.1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TDD: All test cases in 5.3.2.2.2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1T4R FDD: Test number 2, 3 and 4 in 5.3.3.1.1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FDD: All test cases in 5.3.3.1.2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1T4R TDD: Test number 1 and 2 in 5.3.3.2.1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TDD: All test cases in 5.3.3.2.2</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Option 3: Select following legacy test cases for ATG UEs</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1T2R FDD: Test number 1, 3 and 5 in 5.3.2.1.1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FDD: Test number 3 in 5.3.2.1.2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1T2R TDD: All test cases in 5.3.2.2.1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TDD: All test cases in 5.3.2.2.2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1T4R FDD: Test number 1, 3 and 5 in 5.3.3.1.1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FDD: Test number 3 in 5.3.3.1.2</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1T4R TDD: All test cases in 5.3.3.2.1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TDD: All test cases in 5.3.3.2.2</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Option 4: Do not consider in the ATG scope legacy PDCCH requirements</w:t>
      </w:r>
    </w:p>
    <w:p>
      <w:pPr>
        <w:pStyle w:val="2"/>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CSI reporting requirements</w:t>
      </w:r>
    </w:p>
    <w:p>
      <w:pPr>
        <w:rPr>
          <w:b/>
          <w:sz w:val="20"/>
          <w:szCs w:val="20"/>
          <w:u w:val="single"/>
          <w:lang w:eastAsia="ko-KR"/>
        </w:rPr>
      </w:pPr>
      <w:r>
        <w:rPr>
          <w:b/>
          <w:sz w:val="20"/>
          <w:szCs w:val="20"/>
          <w:u w:val="single"/>
          <w:lang w:eastAsia="ko-KR"/>
        </w:rPr>
        <w:t>Issue 2-3-1: Test scope for CSI reporting</w:t>
      </w:r>
    </w:p>
    <w:p>
      <w:pPr>
        <w:rPr>
          <w:rFonts w:eastAsiaTheme="minorEastAsia"/>
          <w:b/>
          <w:sz w:val="20"/>
          <w:szCs w:val="20"/>
        </w:rPr>
      </w:pPr>
      <w:r>
        <w:rPr>
          <w:rFonts w:hint="eastAsia" w:eastAsiaTheme="minorEastAsia"/>
          <w:b/>
          <w:sz w:val="20"/>
          <w:szCs w:val="20"/>
        </w:rPr>
        <w:t>A</w:t>
      </w:r>
      <w:r>
        <w:rPr>
          <w:rFonts w:eastAsiaTheme="minorEastAsia"/>
          <w:b/>
          <w:sz w:val="20"/>
          <w:szCs w:val="20"/>
        </w:rPr>
        <w:t>greement:</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For CQI requirements, reuse the following requirements:</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FDD: CQI requirements in 6.2.2.1.1.1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2T2R TDD: CQI requirements in 6.2.2.2.1.1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FDD: CQI requirements in 6.2.3.1.1.1</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2T4R TDD: CQI requirements in 6.2.3.2.1.1</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Not introduce RI requirements for ATG UE</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 xml:space="preserve">FFS for PMI requirements </w:t>
      </w:r>
    </w:p>
    <w:p>
      <w:pPr>
        <w:pStyle w:val="2"/>
        <w:numPr>
          <w:ilvl w:val="0"/>
          <w:numId w:val="3"/>
        </w:numPr>
        <w:pBdr>
          <w:top w:val="single" w:color="auto" w:sz="12" w:space="3"/>
        </w:pBdr>
        <w:spacing w:before="240" w:after="180" w:line="240" w:lineRule="auto"/>
        <w:rPr>
          <w:rFonts w:cs="Arial"/>
          <w:b w:val="0"/>
          <w:bCs w:val="0"/>
          <w:kern w:val="0"/>
          <w:sz w:val="28"/>
          <w:szCs w:val="28"/>
          <w:lang w:val="en-GB"/>
        </w:rPr>
      </w:pPr>
      <w:r>
        <w:rPr>
          <w:rFonts w:cs="Arial"/>
          <w:b w:val="0"/>
          <w:bCs w:val="0"/>
          <w:kern w:val="0"/>
          <w:sz w:val="28"/>
          <w:szCs w:val="28"/>
          <w:lang w:val="en-GB"/>
        </w:rPr>
        <w:t>BS demodulation</w:t>
      </w:r>
    </w:p>
    <w:p>
      <w:pPr>
        <w:pStyle w:val="2"/>
        <w:numPr>
          <w:ilvl w:val="1"/>
          <w:numId w:val="3"/>
        </w:numPr>
        <w:spacing w:before="180" w:after="180" w:line="240" w:lineRule="auto"/>
        <w:rPr>
          <w:rFonts w:cs="Arial"/>
          <w:b w:val="0"/>
          <w:bCs w:val="0"/>
          <w:kern w:val="0"/>
          <w:sz w:val="24"/>
          <w:szCs w:val="24"/>
          <w:lang w:val="en-GB"/>
        </w:rPr>
      </w:pPr>
      <w:r>
        <w:rPr>
          <w:rFonts w:cs="Arial"/>
          <w:b w:val="0"/>
          <w:bCs w:val="0"/>
          <w:kern w:val="0"/>
          <w:sz w:val="24"/>
          <w:szCs w:val="24"/>
          <w:lang w:val="en-GB"/>
        </w:rPr>
        <w:t>PUSCH requirements</w:t>
      </w:r>
    </w:p>
    <w:p>
      <w:pPr>
        <w:rPr>
          <w:b/>
          <w:sz w:val="20"/>
          <w:szCs w:val="20"/>
          <w:u w:val="single"/>
          <w:lang w:eastAsia="ko-KR"/>
        </w:rPr>
      </w:pPr>
      <w:r>
        <w:rPr>
          <w:rFonts w:hint="eastAsia"/>
          <w:b/>
          <w:sz w:val="20"/>
          <w:szCs w:val="20"/>
          <w:u w:val="single"/>
          <w:lang w:eastAsia="ko-KR"/>
        </w:rPr>
        <w:t>Issue 3-1: MCS</w:t>
      </w:r>
    </w:p>
    <w:p>
      <w:pPr>
        <w:rPr>
          <w:rFonts w:eastAsiaTheme="minorEastAsia"/>
          <w:b/>
          <w:sz w:val="20"/>
          <w:szCs w:val="20"/>
        </w:rPr>
      </w:pPr>
      <w:r>
        <w:rPr>
          <w:rFonts w:hint="eastAsia" w:eastAsiaTheme="minorEastAsia"/>
          <w:b/>
          <w:sz w:val="20"/>
          <w:szCs w:val="20"/>
        </w:rPr>
        <w:t>Agreement:</w:t>
      </w:r>
    </w:p>
    <w:p>
      <w:pPr>
        <w:pStyle w:val="74"/>
        <w:numPr>
          <w:ilvl w:val="0"/>
          <w:numId w:val="4"/>
        </w:numPr>
        <w:spacing w:after="120"/>
        <w:ind w:firstLineChars="0"/>
        <w:rPr>
          <w:rFonts w:eastAsia="宋体" w:cs="Times New Roman"/>
          <w:sz w:val="20"/>
          <w:szCs w:val="20"/>
        </w:rPr>
      </w:pPr>
      <w:r>
        <w:rPr>
          <w:rFonts w:eastAsia="宋体" w:cs="Times New Roman"/>
          <w:sz w:val="20"/>
          <w:szCs w:val="20"/>
        </w:rPr>
        <w:t>For the test case which reusing existing requirements</w:t>
      </w:r>
      <w:r>
        <w:rPr>
          <w:rFonts w:hint="eastAsia" w:eastAsia="宋体" w:cs="Times New Roman"/>
          <w:sz w:val="20"/>
          <w:szCs w:val="20"/>
        </w:rPr>
        <w:t xml:space="preserve">, </w:t>
      </w:r>
      <w:r>
        <w:rPr>
          <w:rFonts w:eastAsia="宋体" w:cs="Times New Roman"/>
          <w:sz w:val="20"/>
          <w:szCs w:val="20"/>
        </w:rPr>
        <w:t>cover 16QAM, 64QAM</w:t>
      </w:r>
      <w:r>
        <w:rPr>
          <w:rFonts w:hint="eastAsia" w:eastAsia="宋体" w:cs="Times New Roman"/>
          <w:sz w:val="20"/>
          <w:szCs w:val="20"/>
        </w:rPr>
        <w:t xml:space="preserve"> and 256QAM, whether to test 256QAM based on the manufactory decla</w:t>
      </w:r>
      <w:r>
        <w:rPr>
          <w:rFonts w:eastAsia="宋体" w:cs="Times New Roman"/>
          <w:sz w:val="20"/>
          <w:szCs w:val="20"/>
        </w:rPr>
        <w:t>ration</w:t>
      </w:r>
      <w:r>
        <w:rPr>
          <w:rFonts w:hint="eastAsia" w:eastAsia="宋体" w:cs="Times New Roman"/>
          <w:sz w:val="20"/>
          <w:szCs w:val="20"/>
        </w:rPr>
        <w:t>.</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For the new dedicated ATG requirements</w:t>
      </w:r>
      <w:r>
        <w:rPr>
          <w:rFonts w:eastAsia="宋体" w:cs="Times New Roman"/>
          <w:sz w:val="20"/>
          <w:szCs w:val="20"/>
        </w:rPr>
        <w:t>, cover [64QAM</w:t>
      </w:r>
      <w:r>
        <w:rPr>
          <w:rFonts w:hint="eastAsia" w:eastAsia="宋体" w:cs="Times New Roman"/>
          <w:sz w:val="20"/>
          <w:szCs w:val="20"/>
        </w:rPr>
        <w:t xml:space="preserve"> MCS [28] (Table 1)</w:t>
      </w:r>
      <w:r>
        <w:rPr>
          <w:rFonts w:eastAsia="宋体" w:cs="Times New Roman"/>
          <w:sz w:val="20"/>
          <w:szCs w:val="20"/>
        </w:rPr>
        <w:t xml:space="preserve">] </w:t>
      </w:r>
      <w:r>
        <w:rPr>
          <w:rFonts w:hint="eastAsia" w:eastAsia="宋体" w:cs="Times New Roman"/>
          <w:sz w:val="20"/>
          <w:szCs w:val="20"/>
        </w:rPr>
        <w:t>and 256QAM MCS [22] (Table 2), whether to test 256QAM based on the manufactory decla</w:t>
      </w:r>
      <w:r>
        <w:rPr>
          <w:rFonts w:eastAsia="宋体" w:cs="Times New Roman"/>
          <w:sz w:val="20"/>
          <w:szCs w:val="20"/>
        </w:rPr>
        <w:t>ration</w:t>
      </w:r>
      <w:r>
        <w:rPr>
          <w:rFonts w:hint="eastAsia" w:eastAsia="宋体" w:cs="Times New Roman"/>
          <w:sz w:val="20"/>
          <w:szCs w:val="20"/>
        </w:rPr>
        <w:t>.</w:t>
      </w:r>
    </w:p>
    <w:p>
      <w:pPr>
        <w:rPr>
          <w:b/>
          <w:sz w:val="20"/>
          <w:szCs w:val="20"/>
          <w:u w:val="single"/>
          <w:lang w:eastAsia="ko-KR"/>
        </w:rPr>
      </w:pPr>
      <w:r>
        <w:rPr>
          <w:b/>
          <w:sz w:val="20"/>
          <w:szCs w:val="20"/>
          <w:u w:val="single"/>
          <w:lang w:eastAsia="ko-KR"/>
        </w:rPr>
        <w:t xml:space="preserve">Issue </w:t>
      </w:r>
      <w:r>
        <w:rPr>
          <w:b/>
          <w:sz w:val="20"/>
          <w:szCs w:val="20"/>
          <w:u w:val="single"/>
        </w:rPr>
        <w:t>3</w:t>
      </w:r>
      <w:r>
        <w:rPr>
          <w:b/>
          <w:sz w:val="20"/>
          <w:szCs w:val="20"/>
          <w:u w:val="single"/>
          <w:lang w:eastAsia="ko-KR"/>
        </w:rPr>
        <w:t>-</w:t>
      </w:r>
      <w:r>
        <w:rPr>
          <w:rFonts w:hint="eastAsia"/>
          <w:b/>
          <w:sz w:val="20"/>
          <w:szCs w:val="20"/>
          <w:u w:val="single"/>
        </w:rPr>
        <w:t>2</w:t>
      </w:r>
      <w:r>
        <w:rPr>
          <w:b/>
          <w:sz w:val="20"/>
          <w:szCs w:val="20"/>
          <w:u w:val="single"/>
          <w:lang w:eastAsia="ko-KR"/>
        </w:rPr>
        <w:t>: Test metric</w:t>
      </w:r>
    </w:p>
    <w:p>
      <w:pPr>
        <w:rPr>
          <w:b/>
          <w:sz w:val="20"/>
          <w:szCs w:val="20"/>
          <w:u w:val="single"/>
          <w:lang w:eastAsia="ko-KR"/>
        </w:rPr>
      </w:pPr>
      <w:r>
        <w:rPr>
          <w:rFonts w:hint="eastAsia" w:eastAsiaTheme="minorEastAsia"/>
          <w:b/>
          <w:sz w:val="20"/>
          <w:szCs w:val="20"/>
        </w:rPr>
        <w:t>Agreement:</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For the test case which reusing existing requirements, the test metric cover SNR at 70% and 30% TP.</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 xml:space="preserve">Only consider 70% throughput requirements for new dedicated requirements. </w:t>
      </w:r>
    </w:p>
    <w:p>
      <w:pPr>
        <w:rPr>
          <w:b/>
          <w:sz w:val="20"/>
          <w:szCs w:val="20"/>
          <w:u w:val="single"/>
          <w:lang w:eastAsia="ko-KR"/>
        </w:rPr>
      </w:pPr>
      <w:r>
        <w:rPr>
          <w:b/>
          <w:sz w:val="20"/>
          <w:szCs w:val="20"/>
          <w:u w:val="single"/>
          <w:lang w:eastAsia="ko-KR"/>
        </w:rPr>
        <w:t xml:space="preserve">Issue </w:t>
      </w:r>
      <w:r>
        <w:rPr>
          <w:rFonts w:hint="eastAsia"/>
          <w:b/>
          <w:sz w:val="20"/>
          <w:szCs w:val="20"/>
          <w:u w:val="single"/>
        </w:rPr>
        <w:t>3</w:t>
      </w:r>
      <w:r>
        <w:rPr>
          <w:b/>
          <w:sz w:val="20"/>
          <w:szCs w:val="20"/>
          <w:u w:val="single"/>
          <w:lang w:eastAsia="ko-KR"/>
        </w:rPr>
        <w:t>-</w:t>
      </w:r>
      <w:r>
        <w:rPr>
          <w:rFonts w:hint="eastAsia"/>
          <w:b/>
          <w:sz w:val="20"/>
          <w:szCs w:val="20"/>
          <w:u w:val="single"/>
        </w:rPr>
        <w:t>3</w:t>
      </w:r>
      <w:r>
        <w:rPr>
          <w:b/>
          <w:sz w:val="20"/>
          <w:szCs w:val="20"/>
          <w:u w:val="single"/>
          <w:lang w:eastAsia="ko-KR"/>
        </w:rPr>
        <w:t xml:space="preserve">: </w:t>
      </w:r>
      <w:r>
        <w:rPr>
          <w:rFonts w:hint="eastAsia"/>
          <w:b/>
          <w:sz w:val="20"/>
          <w:szCs w:val="20"/>
          <w:u w:val="single"/>
          <w:lang w:eastAsia="ko-KR"/>
        </w:rPr>
        <w:t>Test scope for PUSCH</w:t>
      </w:r>
    </w:p>
    <w:p>
      <w:pPr>
        <w:rPr>
          <w:b/>
          <w:sz w:val="20"/>
          <w:szCs w:val="20"/>
          <w:u w:val="single"/>
          <w:lang w:eastAsia="ko-KR"/>
        </w:rPr>
      </w:pPr>
      <w:r>
        <w:rPr>
          <w:rFonts w:hint="eastAsia" w:eastAsiaTheme="minorEastAsia"/>
          <w:b/>
          <w:sz w:val="20"/>
          <w:szCs w:val="20"/>
        </w:rPr>
        <w:t>Agreement:</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For new incremental requirements:</w:t>
      </w:r>
    </w:p>
    <w:p>
      <w:pPr>
        <w:pStyle w:val="74"/>
        <w:numPr>
          <w:ilvl w:val="1"/>
          <w:numId w:val="4"/>
        </w:numPr>
        <w:spacing w:after="120"/>
        <w:ind w:firstLineChars="0"/>
        <w:rPr>
          <w:rFonts w:eastAsia="宋体" w:cs="Times New Roman"/>
          <w:sz w:val="20"/>
          <w:szCs w:val="20"/>
        </w:rPr>
      </w:pPr>
      <w:r>
        <w:rPr>
          <w:rFonts w:hint="eastAsia" w:eastAsia="宋体" w:cs="Times New Roman"/>
          <w:sz w:val="20"/>
          <w:szCs w:val="20"/>
        </w:rPr>
        <w:t>The same requirements are applicable to TDD with different UL-DL pattern</w:t>
      </w:r>
    </w:p>
    <w:p>
      <w:pPr>
        <w:pStyle w:val="74"/>
        <w:numPr>
          <w:ilvl w:val="0"/>
          <w:numId w:val="4"/>
        </w:numPr>
        <w:spacing w:after="120"/>
        <w:ind w:firstLineChars="0"/>
        <w:rPr>
          <w:rFonts w:eastAsia="宋体" w:cs="Times New Roman"/>
          <w:sz w:val="20"/>
          <w:szCs w:val="20"/>
        </w:rPr>
      </w:pPr>
      <w:r>
        <w:rPr>
          <w:rFonts w:hint="eastAsia" w:eastAsia="宋体" w:cs="Times New Roman"/>
          <w:sz w:val="20"/>
          <w:szCs w:val="20"/>
        </w:rPr>
        <w:t>For legacy requirements reusing:</w:t>
      </w:r>
    </w:p>
    <w:p>
      <w:pPr>
        <w:pStyle w:val="74"/>
        <w:numPr>
          <w:ilvl w:val="1"/>
          <w:numId w:val="4"/>
        </w:numPr>
        <w:spacing w:after="120"/>
        <w:ind w:firstLineChars="0"/>
        <w:rPr>
          <w:b/>
          <w:sz w:val="20"/>
          <w:szCs w:val="20"/>
          <w:u w:val="single"/>
          <w:lang w:eastAsia="ko-KR"/>
        </w:rPr>
      </w:pPr>
      <w:r>
        <w:rPr>
          <w:rFonts w:hint="eastAsia" w:eastAsia="宋体" w:cs="Times New Roman"/>
          <w:sz w:val="20"/>
          <w:szCs w:val="20"/>
        </w:rPr>
        <w:t>Consider normal PUSCH demodulation and UCI multiplexing on PUSCH as mandatory</w:t>
      </w:r>
    </w:p>
    <w:p>
      <w:pPr>
        <w:pStyle w:val="2"/>
        <w:numPr>
          <w:ilvl w:val="0"/>
          <w:numId w:val="3"/>
        </w:numPr>
        <w:pBdr>
          <w:top w:val="single" w:color="auto" w:sz="12" w:space="3"/>
        </w:pBdr>
        <w:spacing w:before="240" w:after="180" w:line="240" w:lineRule="auto"/>
        <w:rPr>
          <w:rFonts w:cs="Arial"/>
          <w:b w:val="0"/>
          <w:bCs w:val="0"/>
          <w:kern w:val="0"/>
          <w:sz w:val="28"/>
          <w:szCs w:val="28"/>
          <w:lang w:val="en-GB"/>
        </w:rPr>
      </w:pPr>
      <w:r>
        <w:rPr>
          <w:rFonts w:cs="Arial"/>
          <w:b w:val="0"/>
          <w:bCs w:val="0"/>
          <w:kern w:val="0"/>
          <w:sz w:val="28"/>
          <w:szCs w:val="28"/>
          <w:lang w:val="en-GB"/>
        </w:rPr>
        <w:t>Simulation assumption</w:t>
      </w:r>
    </w:p>
    <w:p>
      <w:pPr>
        <w:autoSpaceDN w:val="0"/>
        <w:spacing w:after="120"/>
        <w:rPr>
          <w:rFonts w:eastAsia="宋体"/>
          <w:sz w:val="20"/>
          <w:szCs w:val="20"/>
        </w:rPr>
      </w:pPr>
      <w:r>
        <w:rPr>
          <w:rFonts w:hint="eastAsia" w:eastAsia="宋体"/>
          <w:sz w:val="20"/>
          <w:szCs w:val="20"/>
        </w:rPr>
        <w:t>S</w:t>
      </w:r>
      <w:r>
        <w:rPr>
          <w:rFonts w:eastAsia="宋体"/>
          <w:sz w:val="20"/>
          <w:szCs w:val="20"/>
        </w:rPr>
        <w:t>imulation assumption for P</w:t>
      </w:r>
      <w:r>
        <w:rPr>
          <w:rFonts w:hint="eastAsia" w:eastAsiaTheme="minorEastAsia"/>
          <w:sz w:val="20"/>
          <w:szCs w:val="20"/>
        </w:rPr>
        <w:t>D</w:t>
      </w:r>
      <w:r>
        <w:rPr>
          <w:rFonts w:eastAsia="宋体"/>
          <w:sz w:val="20"/>
          <w:szCs w:val="20"/>
        </w:rPr>
        <w:t>SCH</w:t>
      </w:r>
    </w:p>
    <w:tbl>
      <w:tblPr>
        <w:tblStyle w:val="7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6"/>
        <w:gridCol w:w="3065"/>
        <w:gridCol w:w="1559"/>
        <w:gridCol w:w="1701"/>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Parameter</w:t>
            </w:r>
          </w:p>
        </w:tc>
        <w:tc>
          <w:tcPr>
            <w:tcW w:w="1559" w:type="dxa"/>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Unit</w:t>
            </w:r>
          </w:p>
        </w:tc>
        <w:tc>
          <w:tcPr>
            <w:tcW w:w="1701" w:type="dxa"/>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Test 1</w:t>
            </w:r>
          </w:p>
        </w:tc>
        <w:tc>
          <w:tcPr>
            <w:tcW w:w="1710" w:type="dxa"/>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bookmarkStart w:id="9" w:name="_Hlk135760729"/>
            <w:r>
              <w:rPr>
                <w:rFonts w:eastAsia="宋体"/>
                <w:sz w:val="20"/>
                <w:szCs w:val="20"/>
              </w:rPr>
              <w:t>Frequency range</w:t>
            </w:r>
          </w:p>
        </w:tc>
        <w:tc>
          <w:tcPr>
            <w:tcW w:w="1559" w:type="dxa"/>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Bandwidth</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MHz</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10</w:t>
            </w:r>
          </w:p>
        </w:tc>
        <w:tc>
          <w:tcPr>
            <w:tcW w:w="1710" w:type="dxa"/>
          </w:tcPr>
          <w:p>
            <w:pPr>
              <w:overflowPunct w:val="0"/>
              <w:autoSpaceDE w:val="0"/>
              <w:autoSpaceDN w:val="0"/>
              <w:adjustRightInd w:val="0"/>
              <w:spacing w:after="120" w:line="276" w:lineRule="auto"/>
              <w:textAlignment w:val="baseline"/>
              <w:rPr>
                <w:rFonts w:eastAsiaTheme="minorEastAsia"/>
                <w:sz w:val="20"/>
                <w:szCs w:val="20"/>
              </w:rPr>
            </w:pPr>
            <w:r>
              <w:rPr>
                <w:rFonts w:eastAsia="宋体"/>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Subcarrier spacing</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kHz</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15</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Duplex Mode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FDD</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61" w:type="dxa"/>
            <w:gridSpan w:val="2"/>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TDD Slot Configuration</w:t>
            </w:r>
          </w:p>
        </w:tc>
        <w:tc>
          <w:tcPr>
            <w:tcW w:w="1559"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N/A</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vMerge w:val="continue"/>
          </w:tcPr>
          <w:p>
            <w:pPr>
              <w:overflowPunct w:val="0"/>
              <w:autoSpaceDE w:val="0"/>
              <w:autoSpaceDN w:val="0"/>
              <w:adjustRightInd w:val="0"/>
              <w:spacing w:after="120" w:line="276" w:lineRule="auto"/>
              <w:textAlignment w:val="baseline"/>
              <w:rPr>
                <w:rFonts w:eastAsia="宋体"/>
                <w:sz w:val="20"/>
                <w:szCs w:val="20"/>
              </w:rPr>
            </w:pPr>
          </w:p>
        </w:tc>
        <w:tc>
          <w:tcPr>
            <w:tcW w:w="1559"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701"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30D4S6U S:40G</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Propagation channel</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AWGN+220Hz doppler</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AWGN+500Hz doppler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4361" w:type="dxa"/>
            <w:gridSpan w:val="2"/>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Antenna configuration</w:t>
            </w:r>
          </w:p>
        </w:tc>
        <w:tc>
          <w:tcPr>
            <w:tcW w:w="1559"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2x2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2x2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vMerge w:val="continue"/>
          </w:tcPr>
          <w:p>
            <w:pPr>
              <w:overflowPunct w:val="0"/>
              <w:autoSpaceDE w:val="0"/>
              <w:autoSpaceDN w:val="0"/>
              <w:adjustRightInd w:val="0"/>
              <w:spacing w:after="120" w:line="276" w:lineRule="auto"/>
              <w:textAlignment w:val="baseline"/>
              <w:rPr>
                <w:rFonts w:eastAsia="宋体"/>
                <w:sz w:val="20"/>
                <w:szCs w:val="20"/>
              </w:rPr>
            </w:pPr>
          </w:p>
        </w:tc>
        <w:tc>
          <w:tcPr>
            <w:tcW w:w="1559"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2x4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2x4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Beamforming Model  </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As defined in Annex B.4.1 in TS 38.101-4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As defined in Annex B.4.1 in TS 38.101-4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MCS/Rank</w:t>
            </w:r>
          </w:p>
        </w:tc>
        <w:tc>
          <w:tcPr>
            <w:tcW w:w="1559" w:type="dxa"/>
          </w:tcPr>
          <w:p>
            <w:pPr>
              <w:overflowPunct w:val="0"/>
              <w:autoSpaceDE w:val="0"/>
              <w:autoSpaceDN w:val="0"/>
              <w:adjustRightInd w:val="0"/>
              <w:spacing w:after="120" w:line="276" w:lineRule="auto"/>
              <w:textAlignment w:val="baseline"/>
              <w:rPr>
                <w:rFonts w:eastAsia="宋体"/>
                <w:sz w:val="20"/>
                <w:szCs w:val="20"/>
                <w:highlight w:val="none"/>
              </w:rPr>
            </w:pPr>
            <w:r>
              <w:rPr>
                <w:rFonts w:eastAsia="宋体"/>
                <w:sz w:val="20"/>
                <w:szCs w:val="20"/>
                <w:highlight w:val="none"/>
              </w:rPr>
              <w:t>　</w:t>
            </w:r>
          </w:p>
        </w:tc>
        <w:tc>
          <w:tcPr>
            <w:tcW w:w="1701" w:type="dxa"/>
          </w:tcPr>
          <w:p>
            <w:pPr>
              <w:overflowPunct w:val="0"/>
              <w:autoSpaceDE w:val="0"/>
              <w:autoSpaceDN w:val="0"/>
              <w:adjustRightInd w:val="0"/>
              <w:spacing w:after="120" w:line="276" w:lineRule="auto"/>
              <w:textAlignment w:val="baseline"/>
              <w:rPr>
                <w:rFonts w:eastAsia="宋体"/>
                <w:sz w:val="20"/>
                <w:szCs w:val="20"/>
                <w:highlight w:val="none"/>
              </w:rPr>
            </w:pPr>
            <w:r>
              <w:rPr>
                <w:rFonts w:hint="eastAsia" w:eastAsia="宋体"/>
                <w:sz w:val="20"/>
                <w:szCs w:val="20"/>
                <w:highlight w:val="none"/>
              </w:rPr>
              <w:t>R</w:t>
            </w:r>
            <w:r>
              <w:rPr>
                <w:rFonts w:eastAsia="宋体"/>
                <w:sz w:val="20"/>
                <w:szCs w:val="20"/>
                <w:highlight w:val="none"/>
              </w:rPr>
              <w:t>ank 1</w:t>
            </w:r>
          </w:p>
          <w:p>
            <w:pPr>
              <w:overflowPunct w:val="0"/>
              <w:autoSpaceDE w:val="0"/>
              <w:autoSpaceDN w:val="0"/>
              <w:adjustRightInd w:val="0"/>
              <w:spacing w:after="120" w:line="276" w:lineRule="auto"/>
              <w:textAlignment w:val="baseline"/>
              <w:rPr>
                <w:rFonts w:eastAsia="宋体"/>
                <w:kern w:val="2"/>
                <w:sz w:val="20"/>
                <w:szCs w:val="20"/>
                <w:highlight w:val="none"/>
              </w:rPr>
            </w:pPr>
            <w:r>
              <w:rPr>
                <w:rFonts w:eastAsia="宋体"/>
                <w:sz w:val="20"/>
                <w:szCs w:val="20"/>
                <w:highlight w:val="none"/>
              </w:rPr>
              <w:t xml:space="preserve">16QAM </w:t>
            </w:r>
            <w:r>
              <w:rPr>
                <w:rFonts w:eastAsia="宋体"/>
                <w:kern w:val="2"/>
                <w:sz w:val="20"/>
                <w:szCs w:val="20"/>
                <w:highlight w:val="none"/>
              </w:rPr>
              <w:t>Table 1 MCS</w:t>
            </w:r>
            <w:r>
              <w:rPr>
                <w:rFonts w:hint="eastAsia" w:eastAsia="宋体"/>
                <w:kern w:val="2"/>
                <w:sz w:val="20"/>
                <w:szCs w:val="20"/>
                <w:highlight w:val="none"/>
              </w:rPr>
              <w:t>1</w:t>
            </w:r>
            <w:r>
              <w:rPr>
                <w:rFonts w:eastAsia="宋体"/>
                <w:kern w:val="2"/>
                <w:sz w:val="20"/>
                <w:szCs w:val="20"/>
                <w:highlight w:val="none"/>
              </w:rPr>
              <w:t>3</w:t>
            </w:r>
          </w:p>
          <w:p>
            <w:pPr>
              <w:overflowPunct w:val="0"/>
              <w:autoSpaceDE w:val="0"/>
              <w:autoSpaceDN w:val="0"/>
              <w:adjustRightInd w:val="0"/>
              <w:spacing w:after="120" w:line="276" w:lineRule="auto"/>
              <w:textAlignment w:val="baseline"/>
              <w:rPr>
                <w:rFonts w:eastAsia="宋体"/>
                <w:sz w:val="20"/>
                <w:szCs w:val="20"/>
                <w:highlight w:val="none"/>
              </w:rPr>
            </w:pPr>
            <w:r>
              <w:rPr>
                <w:rFonts w:eastAsia="宋体"/>
                <w:sz w:val="20"/>
                <w:szCs w:val="20"/>
                <w:highlight w:val="none"/>
              </w:rPr>
              <w:t>64QAM</w:t>
            </w:r>
            <w:r>
              <w:rPr>
                <w:rFonts w:eastAsia="宋体"/>
                <w:kern w:val="2"/>
                <w:sz w:val="20"/>
                <w:szCs w:val="20"/>
                <w:highlight w:val="none"/>
              </w:rPr>
              <w:t xml:space="preserve"> Table 1 MCS 22</w:t>
            </w:r>
          </w:p>
          <w:p>
            <w:pPr>
              <w:overflowPunct/>
              <w:autoSpaceDE/>
              <w:autoSpaceDN/>
              <w:adjustRightInd/>
              <w:spacing w:after="120" w:line="240" w:lineRule="auto"/>
              <w:textAlignment w:val="auto"/>
              <w:rPr>
                <w:rFonts w:eastAsiaTheme="minorEastAsia"/>
                <w:sz w:val="20"/>
                <w:szCs w:val="20"/>
                <w:highlight w:val="none"/>
              </w:rPr>
            </w:pPr>
            <w:r>
              <w:rPr>
                <w:rFonts w:eastAsia="宋体"/>
                <w:sz w:val="20"/>
                <w:szCs w:val="20"/>
                <w:highlight w:val="none"/>
              </w:rPr>
              <w:t>256QAM</w:t>
            </w:r>
            <w:r>
              <w:rPr>
                <w:rFonts w:eastAsia="宋体"/>
                <w:kern w:val="2"/>
                <w:sz w:val="20"/>
                <w:szCs w:val="20"/>
                <w:highlight w:val="none"/>
              </w:rPr>
              <w:t xml:space="preserve"> Table </w:t>
            </w:r>
            <w:r>
              <w:rPr>
                <w:rFonts w:hint="eastAsia" w:eastAsiaTheme="minorEastAsia"/>
                <w:kern w:val="2"/>
                <w:sz w:val="20"/>
                <w:szCs w:val="20"/>
                <w:highlight w:val="none"/>
              </w:rPr>
              <w:t>2</w:t>
            </w:r>
            <w:r>
              <w:rPr>
                <w:rFonts w:eastAsia="宋体"/>
                <w:kern w:val="2"/>
                <w:sz w:val="20"/>
                <w:szCs w:val="20"/>
                <w:highlight w:val="none"/>
              </w:rPr>
              <w:t xml:space="preserve"> MCS </w:t>
            </w:r>
            <w:r>
              <w:rPr>
                <w:rFonts w:hint="eastAsia" w:eastAsiaTheme="minorEastAsia"/>
                <w:kern w:val="2"/>
                <w:sz w:val="20"/>
                <w:szCs w:val="20"/>
                <w:highlight w:val="none"/>
              </w:rPr>
              <w:t>24</w:t>
            </w:r>
          </w:p>
        </w:tc>
        <w:tc>
          <w:tcPr>
            <w:tcW w:w="1710" w:type="dxa"/>
          </w:tcPr>
          <w:p>
            <w:pPr>
              <w:overflowPunct w:val="0"/>
              <w:autoSpaceDE w:val="0"/>
              <w:autoSpaceDN w:val="0"/>
              <w:adjustRightInd w:val="0"/>
              <w:spacing w:after="120" w:line="276" w:lineRule="auto"/>
              <w:textAlignment w:val="baseline"/>
              <w:rPr>
                <w:rFonts w:eastAsia="宋体"/>
                <w:sz w:val="20"/>
                <w:szCs w:val="20"/>
                <w:highlight w:val="none"/>
              </w:rPr>
            </w:pPr>
            <w:r>
              <w:rPr>
                <w:rFonts w:hint="eastAsia" w:eastAsia="宋体"/>
                <w:sz w:val="20"/>
                <w:szCs w:val="20"/>
                <w:highlight w:val="none"/>
              </w:rPr>
              <w:t>R</w:t>
            </w:r>
            <w:r>
              <w:rPr>
                <w:rFonts w:eastAsia="宋体"/>
                <w:sz w:val="20"/>
                <w:szCs w:val="20"/>
                <w:highlight w:val="none"/>
              </w:rPr>
              <w:t>ank 1</w:t>
            </w:r>
          </w:p>
          <w:p>
            <w:pPr>
              <w:overflowPunct w:val="0"/>
              <w:autoSpaceDE w:val="0"/>
              <w:autoSpaceDN w:val="0"/>
              <w:adjustRightInd w:val="0"/>
              <w:spacing w:after="120" w:line="276" w:lineRule="auto"/>
              <w:textAlignment w:val="baseline"/>
              <w:rPr>
                <w:rFonts w:eastAsia="宋体"/>
                <w:kern w:val="2"/>
                <w:sz w:val="20"/>
                <w:szCs w:val="20"/>
                <w:highlight w:val="none"/>
              </w:rPr>
            </w:pPr>
            <w:r>
              <w:rPr>
                <w:rFonts w:eastAsia="宋体"/>
                <w:sz w:val="20"/>
                <w:szCs w:val="20"/>
                <w:highlight w:val="none"/>
              </w:rPr>
              <w:t xml:space="preserve">16QAM </w:t>
            </w:r>
            <w:r>
              <w:rPr>
                <w:rFonts w:eastAsia="宋体"/>
                <w:kern w:val="2"/>
                <w:sz w:val="20"/>
                <w:szCs w:val="20"/>
                <w:highlight w:val="none"/>
              </w:rPr>
              <w:t>Table 1 MCS</w:t>
            </w:r>
            <w:r>
              <w:rPr>
                <w:rFonts w:hint="eastAsia" w:eastAsia="宋体"/>
                <w:kern w:val="2"/>
                <w:sz w:val="20"/>
                <w:szCs w:val="20"/>
                <w:highlight w:val="none"/>
              </w:rPr>
              <w:t>1</w:t>
            </w:r>
            <w:r>
              <w:rPr>
                <w:rFonts w:eastAsia="宋体"/>
                <w:kern w:val="2"/>
                <w:sz w:val="20"/>
                <w:szCs w:val="20"/>
                <w:highlight w:val="none"/>
              </w:rPr>
              <w:t>3</w:t>
            </w:r>
          </w:p>
          <w:p>
            <w:pPr>
              <w:overflowPunct w:val="0"/>
              <w:autoSpaceDE w:val="0"/>
              <w:autoSpaceDN w:val="0"/>
              <w:adjustRightInd w:val="0"/>
              <w:spacing w:after="120" w:line="276" w:lineRule="auto"/>
              <w:textAlignment w:val="baseline"/>
              <w:rPr>
                <w:rFonts w:eastAsia="宋体"/>
                <w:sz w:val="20"/>
                <w:szCs w:val="20"/>
                <w:highlight w:val="none"/>
              </w:rPr>
            </w:pPr>
            <w:r>
              <w:rPr>
                <w:rFonts w:eastAsia="宋体"/>
                <w:sz w:val="20"/>
                <w:szCs w:val="20"/>
                <w:highlight w:val="none"/>
              </w:rPr>
              <w:t>64QAM</w:t>
            </w:r>
            <w:r>
              <w:rPr>
                <w:rFonts w:eastAsia="宋体"/>
                <w:kern w:val="2"/>
                <w:sz w:val="20"/>
                <w:szCs w:val="20"/>
                <w:highlight w:val="none"/>
              </w:rPr>
              <w:t xml:space="preserve"> Table 1 MCS 22</w:t>
            </w:r>
          </w:p>
          <w:p>
            <w:pPr>
              <w:overflowPunct w:val="0"/>
              <w:autoSpaceDE w:val="0"/>
              <w:autoSpaceDN w:val="0"/>
              <w:adjustRightInd w:val="0"/>
              <w:spacing w:after="120" w:line="276" w:lineRule="auto"/>
              <w:textAlignment w:val="baseline"/>
              <w:rPr>
                <w:rFonts w:eastAsia="宋体"/>
                <w:sz w:val="20"/>
                <w:szCs w:val="20"/>
                <w:highlight w:val="none"/>
              </w:rPr>
            </w:pPr>
            <w:r>
              <w:rPr>
                <w:rFonts w:eastAsia="宋体"/>
                <w:sz w:val="20"/>
                <w:szCs w:val="20"/>
                <w:highlight w:val="none"/>
              </w:rPr>
              <w:t>256QAM</w:t>
            </w:r>
            <w:r>
              <w:rPr>
                <w:rFonts w:eastAsia="宋体"/>
                <w:kern w:val="2"/>
                <w:sz w:val="20"/>
                <w:szCs w:val="20"/>
                <w:highlight w:val="none"/>
              </w:rPr>
              <w:t xml:space="preserve"> Table </w:t>
            </w:r>
            <w:r>
              <w:rPr>
                <w:rFonts w:hint="eastAsia" w:eastAsiaTheme="minorEastAsia"/>
                <w:kern w:val="2"/>
                <w:sz w:val="20"/>
                <w:szCs w:val="20"/>
                <w:highlight w:val="none"/>
              </w:rPr>
              <w:t>2</w:t>
            </w:r>
            <w:r>
              <w:rPr>
                <w:rFonts w:eastAsia="宋体"/>
                <w:kern w:val="2"/>
                <w:sz w:val="20"/>
                <w:szCs w:val="20"/>
                <w:highlight w:val="none"/>
              </w:rPr>
              <w:t xml:space="preserve"> MCS </w:t>
            </w:r>
            <w:r>
              <w:rPr>
                <w:rFonts w:hint="eastAsia" w:eastAsiaTheme="minorEastAsia"/>
                <w:kern w:val="2"/>
                <w:sz w:val="20"/>
                <w:szCs w:val="20"/>
                <w:highlight w:val="none"/>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Receiver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MMSE-IRC</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MMSE-IRC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PDSCH configuration</w:t>
            </w: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Mapping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A</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Starting symbol (S)</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Length (L)</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PRB bundling size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PRB bundling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Static</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VRB-to-PRB mapping interleaver bundle size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Non-interleaved</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PDSCH DMRS configuration</w:t>
            </w: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DMRS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additional DMRS</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Maximum number of OFDM symbols for DL front loaded DMRS</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NZP CSI-RS for CSI acquisition</w:t>
            </w: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Row index (Note 3</w:t>
            </w:r>
            <w:r>
              <w:rPr>
                <w:rFonts w:eastAsia="宋体"/>
                <w:sz w:val="20"/>
                <w:szCs w:val="20"/>
                <w:vertAlign w:val="superscript"/>
              </w:rPr>
              <w:t>)</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subcarrier index in the PRB used for CSI-RS </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OFDM symbol in the PRB used for CSI-RS </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CSI-RS ports (X)</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CDM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Density (ρ)</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periodicity</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offset</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Frequency Occupation</w:t>
            </w:r>
          </w:p>
        </w:tc>
        <w:tc>
          <w:tcPr>
            <w:tcW w:w="1559"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559"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QCL info</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TCI state #1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TCI state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1296"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ZP CSI-RS for CSI acquisition</w:t>
            </w: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Row index (Note 3)</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5</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subcarrier index in the PRB used for CSI-RS </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w:t>
            </w:r>
            <w:r>
              <w:rPr>
                <w:rFonts w:eastAsia="宋体"/>
                <w:sz w:val="20"/>
                <w:szCs w:val="20"/>
                <w:vertAlign w:val="subscript"/>
              </w:rPr>
              <w:t xml:space="preserve">0 </w:t>
            </w:r>
            <w:r>
              <w:rPr>
                <w:rFonts w:eastAsia="宋体"/>
                <w:sz w:val="20"/>
                <w:szCs w:val="20"/>
              </w:rPr>
              <w:t>=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xml:space="preserve">First OFDM symbol in the PRB used for CSI-RS </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l</w:t>
            </w:r>
            <w:r>
              <w:rPr>
                <w:rFonts w:eastAsia="宋体"/>
                <w:sz w:val="20"/>
                <w:szCs w:val="20"/>
                <w:vertAlign w:val="subscript"/>
              </w:rPr>
              <w:t>0</w:t>
            </w:r>
            <w:r>
              <w:rPr>
                <w:rFonts w:eastAsia="宋体"/>
                <w:sz w:val="20"/>
                <w:szCs w:val="20"/>
              </w:rPr>
              <w:t xml:space="preserve"> =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CSI-RS ports (X)</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CDM Type</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'FD-CDM2'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Density (ρ)</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periodicity</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20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CSI-RS offset</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Slots</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Frequency Occupation</w:t>
            </w:r>
          </w:p>
        </w:tc>
        <w:tc>
          <w:tcPr>
            <w:tcW w:w="1559" w:type="dxa"/>
            <w:vMerge w:val="restart"/>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Start PRB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296"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3065"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559" w:type="dxa"/>
            <w:vMerge w:val="continue"/>
          </w:tcPr>
          <w:p>
            <w:pPr>
              <w:overflowPunct w:val="0"/>
              <w:autoSpaceDE w:val="0"/>
              <w:autoSpaceDN w:val="0"/>
              <w:adjustRightInd w:val="0"/>
              <w:spacing w:after="120" w:line="276" w:lineRule="auto"/>
              <w:textAlignment w:val="baseline"/>
              <w:rPr>
                <w:rFonts w:eastAsia="宋体"/>
                <w:sz w:val="20"/>
                <w:szCs w:val="20"/>
              </w:rPr>
            </w:pP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PRB = ceil(BWP size/4)*4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Maximum number of HARQ transmission</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Number of HARQ Processes</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701"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4</w:t>
            </w:r>
          </w:p>
        </w:tc>
        <w:tc>
          <w:tcPr>
            <w:tcW w:w="1710"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8 for 7DS2U</w:t>
            </w:r>
            <w:r>
              <w:rPr>
                <w:rFonts w:eastAsia="宋体"/>
                <w:sz w:val="20"/>
                <w:szCs w:val="20"/>
              </w:rPr>
              <w:br w:type="textWrapping"/>
            </w:r>
            <w:r>
              <w:rPr>
                <w:rFonts w:eastAsia="宋体"/>
                <w:sz w:val="20"/>
                <w:szCs w:val="20"/>
              </w:rPr>
              <w:t>32 for 30D4S6U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436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Test metric</w:t>
            </w:r>
          </w:p>
        </w:tc>
        <w:tc>
          <w:tcPr>
            <w:tcW w:w="155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3411"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70% of max throughput at target SNR.</w:t>
            </w:r>
          </w:p>
        </w:tc>
      </w:tr>
    </w:tbl>
    <w:p>
      <w:pPr>
        <w:autoSpaceDN w:val="0"/>
        <w:spacing w:after="120"/>
        <w:rPr>
          <w:rFonts w:eastAsia="宋体"/>
          <w:sz w:val="20"/>
          <w:szCs w:val="20"/>
        </w:rPr>
      </w:pPr>
    </w:p>
    <w:p>
      <w:pPr>
        <w:autoSpaceDN w:val="0"/>
        <w:spacing w:after="120"/>
        <w:rPr>
          <w:rFonts w:eastAsia="宋体"/>
          <w:sz w:val="20"/>
          <w:szCs w:val="20"/>
        </w:rPr>
      </w:pPr>
    </w:p>
    <w:p>
      <w:pPr>
        <w:autoSpaceDN w:val="0"/>
        <w:spacing w:after="120"/>
        <w:rPr>
          <w:rFonts w:eastAsia="宋体"/>
          <w:sz w:val="20"/>
          <w:szCs w:val="20"/>
        </w:rPr>
      </w:pPr>
      <w:r>
        <w:rPr>
          <w:rFonts w:hint="eastAsia" w:eastAsia="宋体"/>
          <w:sz w:val="20"/>
          <w:szCs w:val="20"/>
        </w:rPr>
        <w:t>S</w:t>
      </w:r>
      <w:r>
        <w:rPr>
          <w:rFonts w:eastAsia="宋体"/>
          <w:sz w:val="20"/>
          <w:szCs w:val="20"/>
        </w:rPr>
        <w:t>imulation assumption for PU</w:t>
      </w:r>
      <w:r>
        <w:rPr>
          <w:rFonts w:hint="eastAsia" w:eastAsiaTheme="minorEastAsia"/>
          <w:sz w:val="20"/>
          <w:szCs w:val="20"/>
        </w:rPr>
        <w:t>S</w:t>
      </w:r>
      <w:r>
        <w:rPr>
          <w:rFonts w:eastAsia="宋体"/>
          <w:sz w:val="20"/>
          <w:szCs w:val="20"/>
        </w:rPr>
        <w:t>CH</w:t>
      </w:r>
    </w:p>
    <w:tbl>
      <w:tblPr>
        <w:tblStyle w:val="77"/>
        <w:tblW w:w="92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2475"/>
        <w:gridCol w:w="1269"/>
        <w:gridCol w:w="1985"/>
        <w:gridCol w:w="20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jc w:val="center"/>
              <w:textAlignment w:val="baseline"/>
              <w:rPr>
                <w:rFonts w:eastAsia="等线"/>
                <w:b/>
                <w:bCs/>
                <w:color w:val="000000"/>
                <w:sz w:val="20"/>
                <w:szCs w:val="20"/>
              </w:rPr>
            </w:pPr>
            <w:r>
              <w:rPr>
                <w:rFonts w:eastAsia="等线"/>
                <w:b/>
                <w:bCs/>
                <w:color w:val="000000"/>
                <w:sz w:val="20"/>
                <w:szCs w:val="20"/>
              </w:rPr>
              <w:t>Parameter</w:t>
            </w:r>
          </w:p>
        </w:tc>
        <w:tc>
          <w:tcPr>
            <w:tcW w:w="1269" w:type="dxa"/>
          </w:tcPr>
          <w:p>
            <w:pPr>
              <w:overflowPunct w:val="0"/>
              <w:autoSpaceDE w:val="0"/>
              <w:autoSpaceDN w:val="0"/>
              <w:adjustRightInd w:val="0"/>
              <w:spacing w:after="180" w:line="276" w:lineRule="auto"/>
              <w:jc w:val="center"/>
              <w:textAlignment w:val="baseline"/>
              <w:rPr>
                <w:rFonts w:eastAsia="等线"/>
                <w:b/>
                <w:bCs/>
                <w:color w:val="000000"/>
                <w:sz w:val="20"/>
                <w:szCs w:val="20"/>
              </w:rPr>
            </w:pPr>
            <w:r>
              <w:rPr>
                <w:rFonts w:hint="eastAsia" w:eastAsia="等线"/>
                <w:b/>
                <w:bCs/>
                <w:color w:val="000000"/>
                <w:sz w:val="20"/>
                <w:szCs w:val="20"/>
              </w:rPr>
              <w:t>U</w:t>
            </w:r>
            <w:r>
              <w:rPr>
                <w:rFonts w:eastAsia="等线"/>
                <w:b/>
                <w:bCs/>
                <w:color w:val="000000"/>
                <w:sz w:val="20"/>
                <w:szCs w:val="20"/>
              </w:rPr>
              <w:t>nit</w:t>
            </w:r>
          </w:p>
        </w:tc>
        <w:tc>
          <w:tcPr>
            <w:tcW w:w="1985" w:type="dxa"/>
          </w:tcPr>
          <w:p>
            <w:pPr>
              <w:overflowPunct w:val="0"/>
              <w:autoSpaceDE w:val="0"/>
              <w:autoSpaceDN w:val="0"/>
              <w:adjustRightInd w:val="0"/>
              <w:spacing w:after="180" w:line="276" w:lineRule="auto"/>
              <w:jc w:val="center"/>
              <w:textAlignment w:val="baseline"/>
              <w:rPr>
                <w:rFonts w:eastAsia="等线"/>
                <w:b/>
                <w:bCs/>
                <w:color w:val="000000"/>
                <w:sz w:val="20"/>
                <w:szCs w:val="20"/>
              </w:rPr>
            </w:pPr>
            <w:r>
              <w:rPr>
                <w:rFonts w:hint="eastAsia" w:eastAsia="等线"/>
                <w:b/>
                <w:bCs/>
                <w:color w:val="000000"/>
                <w:sz w:val="20"/>
                <w:szCs w:val="20"/>
              </w:rPr>
              <w:t>T</w:t>
            </w:r>
            <w:r>
              <w:rPr>
                <w:rFonts w:eastAsia="等线"/>
                <w:b/>
                <w:bCs/>
                <w:color w:val="000000"/>
                <w:sz w:val="20"/>
                <w:szCs w:val="20"/>
              </w:rPr>
              <w:t>est 1</w:t>
            </w:r>
          </w:p>
        </w:tc>
        <w:tc>
          <w:tcPr>
            <w:tcW w:w="2017" w:type="dxa"/>
          </w:tcPr>
          <w:p>
            <w:pPr>
              <w:overflowPunct w:val="0"/>
              <w:autoSpaceDE w:val="0"/>
              <w:autoSpaceDN w:val="0"/>
              <w:adjustRightInd w:val="0"/>
              <w:spacing w:after="180" w:line="276" w:lineRule="auto"/>
              <w:jc w:val="center"/>
              <w:textAlignment w:val="baseline"/>
              <w:rPr>
                <w:rFonts w:eastAsia="等线"/>
                <w:b/>
                <w:bCs/>
                <w:color w:val="000000"/>
                <w:sz w:val="20"/>
                <w:szCs w:val="20"/>
              </w:rPr>
            </w:pPr>
            <w:r>
              <w:rPr>
                <w:rFonts w:hint="eastAsia" w:eastAsia="等线"/>
                <w:b/>
                <w:bCs/>
                <w:color w:val="000000"/>
                <w:sz w:val="20"/>
                <w:szCs w:val="20"/>
              </w:rPr>
              <w:t>T</w:t>
            </w:r>
            <w:r>
              <w:rPr>
                <w:rFonts w:eastAsia="等线"/>
                <w:b/>
                <w:bCs/>
                <w:color w:val="000000"/>
                <w:sz w:val="20"/>
                <w:szCs w:val="20"/>
              </w:rPr>
              <w:t>est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942"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Frequency range</w:t>
            </w:r>
          </w:p>
        </w:tc>
        <w:tc>
          <w:tcPr>
            <w:tcW w:w="1269" w:type="dxa"/>
          </w:tcPr>
          <w:p>
            <w:pPr>
              <w:overflowPunct w:val="0"/>
              <w:autoSpaceDE w:val="0"/>
              <w:autoSpaceDN w:val="0"/>
              <w:adjustRightInd w:val="0"/>
              <w:spacing w:after="120" w:line="276" w:lineRule="auto"/>
              <w:textAlignment w:val="baseline"/>
              <w:rPr>
                <w:rFonts w:eastAsia="宋体"/>
                <w:b/>
                <w:bCs/>
                <w:sz w:val="20"/>
                <w:szCs w:val="20"/>
              </w:rPr>
            </w:pPr>
            <w:r>
              <w:rPr>
                <w:rFonts w:eastAsia="宋体"/>
                <w:b/>
                <w:bCs/>
                <w:sz w:val="20"/>
                <w:szCs w:val="20"/>
              </w:rPr>
              <w:t>　</w:t>
            </w:r>
          </w:p>
        </w:tc>
        <w:tc>
          <w:tcPr>
            <w:tcW w:w="198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c>
          <w:tcPr>
            <w:tcW w:w="2017"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942"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Bandwidth</w:t>
            </w:r>
          </w:p>
        </w:tc>
        <w:tc>
          <w:tcPr>
            <w:tcW w:w="126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MHz</w:t>
            </w:r>
          </w:p>
        </w:tc>
        <w:tc>
          <w:tcPr>
            <w:tcW w:w="198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5</w:t>
            </w:r>
          </w:p>
        </w:tc>
        <w:tc>
          <w:tcPr>
            <w:tcW w:w="2017"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942"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Subcarrier spacing</w:t>
            </w:r>
          </w:p>
        </w:tc>
        <w:tc>
          <w:tcPr>
            <w:tcW w:w="126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kHz</w:t>
            </w:r>
          </w:p>
        </w:tc>
        <w:tc>
          <w:tcPr>
            <w:tcW w:w="198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15</w:t>
            </w:r>
          </w:p>
        </w:tc>
        <w:tc>
          <w:tcPr>
            <w:tcW w:w="2017"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942"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Duplex Mode</w:t>
            </w:r>
          </w:p>
        </w:tc>
        <w:tc>
          <w:tcPr>
            <w:tcW w:w="126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98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FDD</w:t>
            </w:r>
          </w:p>
        </w:tc>
        <w:tc>
          <w:tcPr>
            <w:tcW w:w="2017"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trPr>
        <w:tc>
          <w:tcPr>
            <w:tcW w:w="3942" w:type="dxa"/>
            <w:gridSpan w:val="2"/>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TDD Slot Configuration</w:t>
            </w:r>
          </w:p>
        </w:tc>
        <w:tc>
          <w:tcPr>
            <w:tcW w:w="1269"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　</w:t>
            </w:r>
          </w:p>
        </w:tc>
        <w:tc>
          <w:tcPr>
            <w:tcW w:w="1985"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N/A</w:t>
            </w:r>
          </w:p>
        </w:tc>
        <w:tc>
          <w:tcPr>
            <w:tcW w:w="2017" w:type="dxa"/>
          </w:tcPr>
          <w:p>
            <w:pPr>
              <w:overflowPunct w:val="0"/>
              <w:autoSpaceDE w:val="0"/>
              <w:autoSpaceDN w:val="0"/>
              <w:adjustRightInd w:val="0"/>
              <w:spacing w:after="120" w:line="276" w:lineRule="auto"/>
              <w:textAlignment w:val="baseline"/>
              <w:rPr>
                <w:rFonts w:eastAsia="宋体"/>
                <w:sz w:val="20"/>
                <w:szCs w:val="20"/>
              </w:rPr>
            </w:pPr>
            <w:r>
              <w:rPr>
                <w:rFonts w:eastAsia="宋体"/>
                <w:sz w:val="20"/>
                <w:szCs w:val="20"/>
              </w:rPr>
              <w:t>7D1S2U S:6D+4G+4U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hint="eastAsia" w:eastAsia="等线"/>
                <w:color w:val="000000"/>
                <w:sz w:val="20"/>
                <w:szCs w:val="20"/>
              </w:rPr>
              <w:t>C</w:t>
            </w:r>
            <w:r>
              <w:rPr>
                <w:rFonts w:eastAsia="等线"/>
                <w:color w:val="000000"/>
                <w:sz w:val="20"/>
                <w:szCs w:val="20"/>
              </w:rPr>
              <w:t>hannel model</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1985" w:type="dxa"/>
          </w:tcPr>
          <w:p>
            <w:pPr>
              <w:overflowPunct w:val="0"/>
              <w:autoSpaceDE w:val="0"/>
              <w:autoSpaceDN w:val="0"/>
              <w:adjustRightInd w:val="0"/>
              <w:spacing w:after="180" w:line="276" w:lineRule="auto"/>
              <w:jc w:val="both"/>
              <w:textAlignment w:val="baseline"/>
              <w:rPr>
                <w:rFonts w:eastAsia="等线"/>
                <w:color w:val="000000"/>
                <w:sz w:val="20"/>
                <w:szCs w:val="20"/>
              </w:rPr>
            </w:pPr>
            <w:r>
              <w:rPr>
                <w:rFonts w:hint="eastAsia" w:eastAsia="等线"/>
                <w:color w:val="000000"/>
                <w:sz w:val="20"/>
                <w:szCs w:val="20"/>
              </w:rPr>
              <w:t>A</w:t>
            </w:r>
            <w:r>
              <w:rPr>
                <w:rFonts w:eastAsia="等线"/>
                <w:color w:val="000000"/>
                <w:sz w:val="20"/>
                <w:szCs w:val="20"/>
              </w:rPr>
              <w:t>WGN+200Hz</w:t>
            </w:r>
          </w:p>
        </w:tc>
        <w:tc>
          <w:tcPr>
            <w:tcW w:w="2017" w:type="dxa"/>
          </w:tcPr>
          <w:p>
            <w:pPr>
              <w:overflowPunct w:val="0"/>
              <w:autoSpaceDE w:val="0"/>
              <w:autoSpaceDN w:val="0"/>
              <w:adjustRightInd w:val="0"/>
              <w:spacing w:after="180" w:line="276" w:lineRule="auto"/>
              <w:jc w:val="both"/>
              <w:textAlignment w:val="baseline"/>
              <w:rPr>
                <w:rFonts w:eastAsia="等线"/>
                <w:color w:val="000000"/>
                <w:sz w:val="20"/>
                <w:szCs w:val="20"/>
              </w:rPr>
            </w:pPr>
            <w:r>
              <w:rPr>
                <w:rFonts w:hint="eastAsia" w:eastAsia="等线"/>
                <w:color w:val="000000"/>
                <w:sz w:val="20"/>
                <w:szCs w:val="20"/>
              </w:rPr>
              <w:t>A</w:t>
            </w:r>
            <w:r>
              <w:rPr>
                <w:rFonts w:eastAsia="等线"/>
                <w:color w:val="000000"/>
                <w:sz w:val="20"/>
                <w:szCs w:val="20"/>
              </w:rPr>
              <w:t>WGN+500Hz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eastAsia="宋体"/>
                <w:sz w:val="20"/>
                <w:szCs w:val="20"/>
              </w:rPr>
              <w:t>MCS/Rank</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1985" w:type="dxa"/>
          </w:tcPr>
          <w:p>
            <w:pPr>
              <w:overflowPunct w:val="0"/>
              <w:autoSpaceDE w:val="0"/>
              <w:autoSpaceDN w:val="0"/>
              <w:adjustRightInd w:val="0"/>
              <w:spacing w:after="120" w:line="276" w:lineRule="auto"/>
              <w:jc w:val="both"/>
              <w:textAlignment w:val="baseline"/>
              <w:rPr>
                <w:rFonts w:eastAsia="宋体"/>
                <w:sz w:val="20"/>
                <w:szCs w:val="20"/>
                <w:highlight w:val="none"/>
              </w:rPr>
            </w:pPr>
            <w:r>
              <w:rPr>
                <w:rFonts w:hint="eastAsia" w:eastAsia="宋体"/>
                <w:sz w:val="20"/>
                <w:szCs w:val="20"/>
                <w:highlight w:val="none"/>
              </w:rPr>
              <w:t>R</w:t>
            </w:r>
            <w:r>
              <w:rPr>
                <w:rFonts w:eastAsia="宋体"/>
                <w:sz w:val="20"/>
                <w:szCs w:val="20"/>
                <w:highlight w:val="none"/>
              </w:rPr>
              <w:t>ank 1</w:t>
            </w:r>
          </w:p>
          <w:p>
            <w:pPr>
              <w:overflowPunct w:val="0"/>
              <w:autoSpaceDE w:val="0"/>
              <w:autoSpaceDN w:val="0"/>
              <w:adjustRightInd w:val="0"/>
              <w:spacing w:after="180" w:line="276" w:lineRule="auto"/>
              <w:jc w:val="both"/>
              <w:textAlignment w:val="baseline"/>
              <w:rPr>
                <w:rFonts w:eastAsia="等线"/>
                <w:color w:val="000000"/>
                <w:sz w:val="20"/>
                <w:szCs w:val="20"/>
                <w:highlight w:val="none"/>
              </w:rPr>
            </w:pPr>
            <w:r>
              <w:rPr>
                <w:rFonts w:eastAsia="等线"/>
                <w:color w:val="000000"/>
                <w:sz w:val="20"/>
                <w:szCs w:val="20"/>
                <w:highlight w:val="none"/>
              </w:rPr>
              <w:t>64QAM MCS</w:t>
            </w:r>
            <w:r>
              <w:rPr>
                <w:rFonts w:hint="eastAsia" w:eastAsia="等线"/>
                <w:color w:val="000000"/>
                <w:sz w:val="20"/>
                <w:szCs w:val="20"/>
                <w:highlight w:val="none"/>
              </w:rPr>
              <w:t xml:space="preserve"> 28 in Table 1</w:t>
            </w:r>
          </w:p>
          <w:p>
            <w:pPr>
              <w:overflowPunct w:val="0"/>
              <w:autoSpaceDE w:val="0"/>
              <w:autoSpaceDN w:val="0"/>
              <w:adjustRightInd w:val="0"/>
              <w:spacing w:after="180" w:line="276" w:lineRule="auto"/>
              <w:jc w:val="both"/>
              <w:textAlignment w:val="baseline"/>
              <w:rPr>
                <w:rFonts w:eastAsia="等线"/>
                <w:color w:val="000000"/>
                <w:sz w:val="20"/>
                <w:szCs w:val="20"/>
                <w:highlight w:val="none"/>
              </w:rPr>
            </w:pPr>
            <w:r>
              <w:rPr>
                <w:rFonts w:eastAsia="等线"/>
                <w:color w:val="000000"/>
                <w:sz w:val="20"/>
                <w:szCs w:val="20"/>
                <w:highlight w:val="none"/>
              </w:rPr>
              <w:t xml:space="preserve">256QAM </w:t>
            </w:r>
            <w:r>
              <w:rPr>
                <w:rFonts w:hint="eastAsia" w:eastAsia="等线"/>
                <w:color w:val="000000"/>
                <w:sz w:val="20"/>
                <w:szCs w:val="20"/>
                <w:highlight w:val="none"/>
              </w:rPr>
              <w:t>M</w:t>
            </w:r>
            <w:r>
              <w:rPr>
                <w:rFonts w:eastAsia="等线"/>
                <w:color w:val="000000"/>
                <w:sz w:val="20"/>
                <w:szCs w:val="20"/>
                <w:highlight w:val="none"/>
              </w:rPr>
              <w:t xml:space="preserve">CS </w:t>
            </w:r>
            <w:r>
              <w:rPr>
                <w:rFonts w:hint="eastAsia" w:eastAsia="等线"/>
                <w:color w:val="000000"/>
                <w:sz w:val="20"/>
                <w:szCs w:val="20"/>
                <w:highlight w:val="none"/>
              </w:rPr>
              <w:t>22 in Table 2</w:t>
            </w:r>
          </w:p>
        </w:tc>
        <w:tc>
          <w:tcPr>
            <w:tcW w:w="2017" w:type="dxa"/>
          </w:tcPr>
          <w:p>
            <w:pPr>
              <w:overflowPunct w:val="0"/>
              <w:autoSpaceDE w:val="0"/>
              <w:autoSpaceDN w:val="0"/>
              <w:adjustRightInd w:val="0"/>
              <w:spacing w:after="120" w:line="276" w:lineRule="auto"/>
              <w:jc w:val="both"/>
              <w:textAlignment w:val="baseline"/>
              <w:rPr>
                <w:rFonts w:eastAsia="宋体"/>
                <w:sz w:val="20"/>
                <w:szCs w:val="20"/>
                <w:highlight w:val="none"/>
              </w:rPr>
            </w:pPr>
            <w:r>
              <w:rPr>
                <w:rFonts w:hint="eastAsia" w:eastAsia="宋体"/>
                <w:sz w:val="20"/>
                <w:szCs w:val="20"/>
                <w:highlight w:val="none"/>
              </w:rPr>
              <w:t>R</w:t>
            </w:r>
            <w:r>
              <w:rPr>
                <w:rFonts w:eastAsia="宋体"/>
                <w:sz w:val="20"/>
                <w:szCs w:val="20"/>
                <w:highlight w:val="none"/>
              </w:rPr>
              <w:t>ank 1</w:t>
            </w:r>
          </w:p>
          <w:p>
            <w:pPr>
              <w:overflowPunct w:val="0"/>
              <w:autoSpaceDE w:val="0"/>
              <w:autoSpaceDN w:val="0"/>
              <w:adjustRightInd w:val="0"/>
              <w:spacing w:after="180" w:line="276" w:lineRule="auto"/>
              <w:jc w:val="both"/>
              <w:textAlignment w:val="baseline"/>
              <w:rPr>
                <w:rFonts w:eastAsia="等线"/>
                <w:color w:val="000000"/>
                <w:sz w:val="20"/>
                <w:szCs w:val="20"/>
                <w:highlight w:val="none"/>
              </w:rPr>
            </w:pPr>
            <w:r>
              <w:rPr>
                <w:rFonts w:eastAsia="等线"/>
                <w:color w:val="000000"/>
                <w:sz w:val="20"/>
                <w:szCs w:val="20"/>
                <w:highlight w:val="none"/>
              </w:rPr>
              <w:t>64QAM MCS</w:t>
            </w:r>
            <w:r>
              <w:rPr>
                <w:rFonts w:hint="eastAsia" w:eastAsia="等线"/>
                <w:color w:val="000000"/>
                <w:sz w:val="20"/>
                <w:szCs w:val="20"/>
                <w:highlight w:val="none"/>
              </w:rPr>
              <w:t xml:space="preserve"> 28 in Table 1</w:t>
            </w:r>
          </w:p>
          <w:p>
            <w:pPr>
              <w:overflowPunct w:val="0"/>
              <w:autoSpaceDE w:val="0"/>
              <w:autoSpaceDN w:val="0"/>
              <w:adjustRightInd w:val="0"/>
              <w:spacing w:after="180" w:line="276" w:lineRule="auto"/>
              <w:jc w:val="both"/>
              <w:textAlignment w:val="baseline"/>
              <w:rPr>
                <w:rFonts w:eastAsia="等线"/>
                <w:color w:val="000000"/>
                <w:sz w:val="20"/>
                <w:szCs w:val="20"/>
                <w:highlight w:val="none"/>
              </w:rPr>
            </w:pPr>
            <w:r>
              <w:rPr>
                <w:rFonts w:eastAsia="等线"/>
                <w:color w:val="000000"/>
                <w:sz w:val="20"/>
                <w:szCs w:val="20"/>
                <w:highlight w:val="none"/>
              </w:rPr>
              <w:t xml:space="preserve">256QAM </w:t>
            </w:r>
            <w:r>
              <w:rPr>
                <w:rFonts w:hint="eastAsia" w:eastAsia="等线"/>
                <w:color w:val="000000"/>
                <w:sz w:val="20"/>
                <w:szCs w:val="20"/>
                <w:highlight w:val="none"/>
              </w:rPr>
              <w:t>M</w:t>
            </w:r>
            <w:r>
              <w:rPr>
                <w:rFonts w:eastAsia="等线"/>
                <w:color w:val="000000"/>
                <w:sz w:val="20"/>
                <w:szCs w:val="20"/>
                <w:highlight w:val="none"/>
              </w:rPr>
              <w:t xml:space="preserve">CS </w:t>
            </w:r>
            <w:bookmarkStart w:id="10" w:name="_GoBack"/>
            <w:bookmarkEnd w:id="10"/>
            <w:r>
              <w:rPr>
                <w:rFonts w:hint="eastAsia" w:eastAsia="等线"/>
                <w:color w:val="000000"/>
                <w:sz w:val="20"/>
                <w:szCs w:val="20"/>
                <w:highlight w:val="none"/>
              </w:rPr>
              <w:t>22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hint="eastAsia" w:eastAsia="等线"/>
                <w:color w:val="000000"/>
                <w:sz w:val="20"/>
                <w:szCs w:val="20"/>
              </w:rPr>
              <w:t>A</w:t>
            </w:r>
            <w:r>
              <w:rPr>
                <w:rFonts w:eastAsia="等线"/>
                <w:color w:val="000000"/>
                <w:sz w:val="20"/>
                <w:szCs w:val="20"/>
              </w:rPr>
              <w:t>ntenna configuration</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1985" w:type="dxa"/>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1T2R</w:t>
            </w:r>
          </w:p>
        </w:tc>
        <w:tc>
          <w:tcPr>
            <w:tcW w:w="2017" w:type="dxa"/>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1T2R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Transform precoding</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CP-OFDM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restart"/>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HARQ</w:t>
            </w: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Maximum number of HARQ transmissions</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RV sequence</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0, 2, 3, 1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restart"/>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DM-RS</w:t>
            </w: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DM-RS configuration type</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DM-RS duration</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single-symbol DM-RS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Additional DM-RS position</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pos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Number of DM-RS CDM group(s) without data</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Ratio of PUSCH EPRE to DM-RS EPRE</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DM-RS port</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DM-RS sequence generation</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N</w:t>
            </w:r>
            <w:r>
              <w:rPr>
                <w:rFonts w:eastAsia="等线"/>
                <w:color w:val="000000"/>
                <w:sz w:val="20"/>
                <w:szCs w:val="20"/>
                <w:vertAlign w:val="subscript"/>
              </w:rPr>
              <w:t>ID</w:t>
            </w:r>
            <w:r>
              <w:rPr>
                <w:rFonts w:eastAsia="等线"/>
                <w:color w:val="000000"/>
                <w:sz w:val="20"/>
                <w:szCs w:val="20"/>
                <w:vertAlign w:val="superscript"/>
              </w:rPr>
              <w:t>0</w:t>
            </w:r>
            <w:r>
              <w:rPr>
                <w:rFonts w:eastAsia="等线"/>
                <w:color w:val="000000"/>
                <w:sz w:val="20"/>
                <w:szCs w:val="20"/>
              </w:rPr>
              <w:t>=0, n</w:t>
            </w:r>
            <w:r>
              <w:rPr>
                <w:rFonts w:eastAsia="等线"/>
                <w:color w:val="000000"/>
                <w:sz w:val="20"/>
                <w:szCs w:val="20"/>
                <w:vertAlign w:val="subscript"/>
              </w:rPr>
              <w:t>SCID</w:t>
            </w:r>
            <w:r>
              <w:rPr>
                <w:rFonts w:eastAsia="等线"/>
                <w:color w:val="000000"/>
                <w:sz w:val="20"/>
                <w:szCs w:val="20"/>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restart"/>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Time domain resource assignment</w:t>
            </w: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PUSCH mapping type</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Start symbol</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Allocation length</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restart"/>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Frequency domain resource assignment</w:t>
            </w: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RB assignment</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Full applicable test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1467" w:type="dxa"/>
            <w:vMerge w:val="continue"/>
          </w:tcPr>
          <w:p>
            <w:pPr>
              <w:overflowPunct w:val="0"/>
              <w:autoSpaceDE w:val="0"/>
              <w:autoSpaceDN w:val="0"/>
              <w:adjustRightInd w:val="0"/>
              <w:spacing w:after="180" w:line="276" w:lineRule="auto"/>
              <w:textAlignment w:val="baseline"/>
              <w:rPr>
                <w:rFonts w:eastAsia="等线"/>
                <w:color w:val="000000"/>
                <w:sz w:val="20"/>
                <w:szCs w:val="20"/>
              </w:rPr>
            </w:pPr>
          </w:p>
        </w:tc>
        <w:tc>
          <w:tcPr>
            <w:tcW w:w="2475" w:type="dxa"/>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Frequency hopping</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eastAsia="等线"/>
                <w:color w:val="000000"/>
                <w:sz w:val="20"/>
                <w:szCs w:val="20"/>
              </w:rPr>
              <w:t>Code block group based PUSCH transmission</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等线"/>
                <w:color w:val="000000"/>
                <w:sz w:val="20"/>
                <w:szCs w:val="20"/>
              </w:rPr>
              <w:t>Disabled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 w:hRule="atLeast"/>
        </w:trPr>
        <w:tc>
          <w:tcPr>
            <w:tcW w:w="3942" w:type="dxa"/>
            <w:gridSpan w:val="2"/>
          </w:tcPr>
          <w:p>
            <w:pPr>
              <w:overflowPunct w:val="0"/>
              <w:autoSpaceDE w:val="0"/>
              <w:autoSpaceDN w:val="0"/>
              <w:adjustRightInd w:val="0"/>
              <w:spacing w:after="180" w:line="276" w:lineRule="auto"/>
              <w:textAlignment w:val="baseline"/>
              <w:rPr>
                <w:rFonts w:eastAsia="等线"/>
                <w:color w:val="000000"/>
                <w:sz w:val="20"/>
                <w:szCs w:val="20"/>
              </w:rPr>
            </w:pPr>
            <w:r>
              <w:rPr>
                <w:rFonts w:hint="eastAsia" w:eastAsia="等线"/>
                <w:color w:val="000000"/>
                <w:sz w:val="20"/>
                <w:szCs w:val="20"/>
              </w:rPr>
              <w:t>T</w:t>
            </w:r>
            <w:r>
              <w:rPr>
                <w:rFonts w:eastAsia="等线"/>
                <w:color w:val="000000"/>
                <w:sz w:val="20"/>
                <w:szCs w:val="20"/>
              </w:rPr>
              <w:t>est metric</w:t>
            </w:r>
          </w:p>
        </w:tc>
        <w:tc>
          <w:tcPr>
            <w:tcW w:w="1269" w:type="dxa"/>
          </w:tcPr>
          <w:p>
            <w:pPr>
              <w:overflowPunct w:val="0"/>
              <w:autoSpaceDE w:val="0"/>
              <w:autoSpaceDN w:val="0"/>
              <w:adjustRightInd w:val="0"/>
              <w:spacing w:after="180" w:line="276" w:lineRule="auto"/>
              <w:jc w:val="center"/>
              <w:textAlignment w:val="baseline"/>
              <w:rPr>
                <w:rFonts w:eastAsia="等线"/>
                <w:color w:val="000000"/>
                <w:sz w:val="20"/>
                <w:szCs w:val="20"/>
              </w:rPr>
            </w:pPr>
          </w:p>
        </w:tc>
        <w:tc>
          <w:tcPr>
            <w:tcW w:w="4002" w:type="dxa"/>
            <w:gridSpan w:val="2"/>
          </w:tcPr>
          <w:p>
            <w:pPr>
              <w:overflowPunct w:val="0"/>
              <w:autoSpaceDE w:val="0"/>
              <w:autoSpaceDN w:val="0"/>
              <w:adjustRightInd w:val="0"/>
              <w:spacing w:after="180" w:line="276" w:lineRule="auto"/>
              <w:jc w:val="center"/>
              <w:textAlignment w:val="baseline"/>
              <w:rPr>
                <w:rFonts w:eastAsia="等线"/>
                <w:color w:val="000000"/>
                <w:sz w:val="20"/>
                <w:szCs w:val="20"/>
              </w:rPr>
            </w:pPr>
            <w:r>
              <w:rPr>
                <w:rFonts w:eastAsia="宋体"/>
                <w:sz w:val="20"/>
                <w:szCs w:val="20"/>
              </w:rPr>
              <w:t>70% of max throughput at target SNR.</w:t>
            </w:r>
          </w:p>
        </w:tc>
      </w:tr>
    </w:tbl>
    <w:p>
      <w:pPr>
        <w:autoSpaceDN w:val="0"/>
        <w:spacing w:after="120"/>
        <w:rPr>
          <w:rFonts w:eastAsia="宋体"/>
          <w:sz w:val="20"/>
          <w:szCs w:val="20"/>
        </w:rPr>
      </w:pP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rPr>
        <w:rFonts w:hint="eastAsia"/>
      </w:rPr>
    </w:lvl>
    <w:lvl w:ilvl="1" w:tentative="0">
      <w:start w:val="1"/>
      <w:numFmt w:val="decimal"/>
      <w:lvlText w:val="%1.%2."/>
      <w:lvlJc w:val="left"/>
      <w:pPr>
        <w:ind w:left="567" w:hanging="567"/>
      </w:pPr>
      <w:rPr>
        <w:rFonts w:hint="eastAsia"/>
        <w:sz w:val="24"/>
        <w:szCs w:val="22"/>
        <w:lang w:val="en-US"/>
      </w:rPr>
    </w:lvl>
    <w:lvl w:ilvl="2" w:tentative="0">
      <w:start w:val="1"/>
      <w:numFmt w:val="decimal"/>
      <w:lvlText w:val="%1.%2.%3."/>
      <w:lvlJc w:val="left"/>
      <w:pPr>
        <w:ind w:left="709" w:hanging="709"/>
      </w:pPr>
      <w:rPr>
        <w:rFonts w:hint="eastAsia"/>
        <w:lang w:val="en-US"/>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1">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2">
    <w:nsid w:val="6CDA2FB2"/>
    <w:multiLevelType w:val="multilevel"/>
    <w:tmpl w:val="6CDA2FB2"/>
    <w:lvl w:ilvl="0" w:tentative="0">
      <w:start w:val="1"/>
      <w:numFmt w:val="decimal"/>
      <w:pStyle w:val="52"/>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1"/>
  <w:bordersDoNotSurroundFooter w:val="1"/>
  <w:documentProtection w:enforcement="0"/>
  <w:defaultTabStop w:val="420"/>
  <w:hyphenationZone w:val="425"/>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653"/>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A56"/>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435"/>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894"/>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494"/>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777"/>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5FCF"/>
    <w:rsid w:val="00236DD3"/>
    <w:rsid w:val="00237221"/>
    <w:rsid w:val="00237552"/>
    <w:rsid w:val="002377D1"/>
    <w:rsid w:val="002379C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A57"/>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798"/>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2DF"/>
    <w:rsid w:val="003538C7"/>
    <w:rsid w:val="003542A6"/>
    <w:rsid w:val="00354A2C"/>
    <w:rsid w:val="00354E89"/>
    <w:rsid w:val="003562F7"/>
    <w:rsid w:val="00356B7A"/>
    <w:rsid w:val="00356DB2"/>
    <w:rsid w:val="00356F29"/>
    <w:rsid w:val="0035795A"/>
    <w:rsid w:val="00357EAE"/>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3AB"/>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6C6"/>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298"/>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38C"/>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1A7F"/>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7E9"/>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343"/>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09E"/>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73C"/>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7AC"/>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B4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47E46"/>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1B9"/>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BC6"/>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D65"/>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C39"/>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698F"/>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066E"/>
    <w:rsid w:val="008016F2"/>
    <w:rsid w:val="00801BA3"/>
    <w:rsid w:val="00802CA1"/>
    <w:rsid w:val="00803A51"/>
    <w:rsid w:val="008044DA"/>
    <w:rsid w:val="00804638"/>
    <w:rsid w:val="00804F8E"/>
    <w:rsid w:val="0080516F"/>
    <w:rsid w:val="00805357"/>
    <w:rsid w:val="008054CD"/>
    <w:rsid w:val="00807025"/>
    <w:rsid w:val="008074D4"/>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3DE4"/>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C48"/>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CF7"/>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4F2"/>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261"/>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0D1"/>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6C1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57A33"/>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544"/>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2BCD"/>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5BB"/>
    <w:rsid w:val="009E38E6"/>
    <w:rsid w:val="009E4594"/>
    <w:rsid w:val="009E46B2"/>
    <w:rsid w:val="009E47F5"/>
    <w:rsid w:val="009E4947"/>
    <w:rsid w:val="009E4DEE"/>
    <w:rsid w:val="009E514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4F4"/>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5D1"/>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81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0A3"/>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A51"/>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1C2E"/>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91B"/>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09"/>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2FBB"/>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2BE0"/>
    <w:rsid w:val="00D4386A"/>
    <w:rsid w:val="00D43FDA"/>
    <w:rsid w:val="00D44680"/>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2D35"/>
    <w:rsid w:val="00DD378A"/>
    <w:rsid w:val="00DD3F9C"/>
    <w:rsid w:val="00DD4087"/>
    <w:rsid w:val="00DD435B"/>
    <w:rsid w:val="00DD4A69"/>
    <w:rsid w:val="00DD4AC4"/>
    <w:rsid w:val="00DD4EC2"/>
    <w:rsid w:val="00DD5B8E"/>
    <w:rsid w:val="00DD69A8"/>
    <w:rsid w:val="00DD7BE5"/>
    <w:rsid w:val="00DE03DF"/>
    <w:rsid w:val="00DE06FB"/>
    <w:rsid w:val="00DE07D0"/>
    <w:rsid w:val="00DE08DC"/>
    <w:rsid w:val="00DE0F64"/>
    <w:rsid w:val="00DE1018"/>
    <w:rsid w:val="00DE2304"/>
    <w:rsid w:val="00DE2B08"/>
    <w:rsid w:val="00DE33AC"/>
    <w:rsid w:val="00DE33F7"/>
    <w:rsid w:val="00DE3DAE"/>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244"/>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194"/>
    <w:rsid w:val="00ED620E"/>
    <w:rsid w:val="00ED67EE"/>
    <w:rsid w:val="00ED749B"/>
    <w:rsid w:val="00ED75A5"/>
    <w:rsid w:val="00ED75FE"/>
    <w:rsid w:val="00ED7ECA"/>
    <w:rsid w:val="00EE0203"/>
    <w:rsid w:val="00EE047F"/>
    <w:rsid w:val="00EE07EB"/>
    <w:rsid w:val="00EE0A06"/>
    <w:rsid w:val="00EE18F6"/>
    <w:rsid w:val="00EE1A09"/>
    <w:rsid w:val="00EE21CB"/>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990"/>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87CC4"/>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9CA10DA"/>
    <w:rsid w:val="11271E4D"/>
    <w:rsid w:val="12F8269A"/>
    <w:rsid w:val="18495F5A"/>
    <w:rsid w:val="26D54A85"/>
    <w:rsid w:val="27841B94"/>
    <w:rsid w:val="2B5D4B6B"/>
    <w:rsid w:val="34EA2CE3"/>
    <w:rsid w:val="38F5660E"/>
    <w:rsid w:val="484A5C05"/>
    <w:rsid w:val="53705166"/>
    <w:rsid w:val="63E337FB"/>
    <w:rsid w:val="6D6A4979"/>
    <w:rsid w:val="70E178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Math" w:hAnsi="Cambria Math" w:eastAsia="Yu Mincho Light"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5"/>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6"/>
    <w:qFormat/>
    <w:uiPriority w:val="0"/>
    <w:pPr>
      <w:tabs>
        <w:tab w:val="left" w:pos="720"/>
        <w:tab w:val="clear" w:pos="576"/>
      </w:tabs>
      <w:spacing w:before="120"/>
      <w:ind w:left="720" w:hanging="720"/>
      <w:outlineLvl w:val="2"/>
    </w:pPr>
    <w:rPr>
      <w:sz w:val="28"/>
    </w:rPr>
  </w:style>
  <w:style w:type="paragraph" w:styleId="5">
    <w:name w:val="heading 4"/>
    <w:basedOn w:val="4"/>
    <w:next w:val="1"/>
    <w:link w:val="37"/>
    <w:qFormat/>
    <w:uiPriority w:val="0"/>
    <w:pPr>
      <w:tabs>
        <w:tab w:val="left" w:pos="864"/>
        <w:tab w:val="clear" w:pos="720"/>
      </w:tabs>
      <w:ind w:left="864" w:hanging="864"/>
      <w:outlineLvl w:val="3"/>
    </w:pPr>
    <w:rPr>
      <w:sz w:val="20"/>
    </w:rPr>
  </w:style>
  <w:style w:type="paragraph" w:styleId="6">
    <w:name w:val="heading 5"/>
    <w:basedOn w:val="5"/>
    <w:next w:val="1"/>
    <w:link w:val="38"/>
    <w:qFormat/>
    <w:uiPriority w:val="0"/>
    <w:pPr>
      <w:tabs>
        <w:tab w:val="left" w:pos="1152"/>
        <w:tab w:val="clear" w:pos="864"/>
      </w:tabs>
      <w:ind w:left="1152" w:hanging="1152"/>
      <w:outlineLvl w:val="4"/>
    </w:pPr>
    <w:rPr>
      <w:sz w:val="22"/>
    </w:rPr>
  </w:style>
  <w:style w:type="paragraph" w:styleId="7">
    <w:name w:val="heading 7"/>
    <w:basedOn w:val="1"/>
    <w:next w:val="1"/>
    <w:link w:val="39"/>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0"/>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1"/>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4"/>
    <w:qFormat/>
    <w:uiPriority w:val="0"/>
    <w:pPr>
      <w:keepNext/>
      <w:spacing w:after="60"/>
    </w:pPr>
    <w:rPr>
      <w:rFonts w:ascii="Courier New" w:hAnsi="Courier New" w:eastAsia="Yu Mincho Light" w:cs="Times New Roman"/>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7"/>
    <w:unhideWhenUsed/>
    <w:qFormat/>
    <w:uiPriority w:val="0"/>
  </w:style>
  <w:style w:type="paragraph" w:styleId="13">
    <w:name w:val="Balloon Text"/>
    <w:basedOn w:val="1"/>
    <w:link w:val="45"/>
    <w:semiHidden/>
    <w:unhideWhenUsed/>
    <w:qFormat/>
    <w:uiPriority w:val="99"/>
    <w:rPr>
      <w:rFonts w:ascii="Cambria Math" w:hAnsi="Cambria Math" w:eastAsia="Cambria Math"/>
      <w:sz w:val="18"/>
      <w:szCs w:val="18"/>
    </w:rPr>
  </w:style>
  <w:style w:type="paragraph" w:styleId="14">
    <w:name w:val="footer"/>
    <w:basedOn w:val="1"/>
    <w:link w:val="46"/>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8"/>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Header Char"/>
    <w:link w:val="15"/>
    <w:qFormat/>
    <w:uiPriority w:val="99"/>
    <w:rPr>
      <w:rFonts w:ascii="Times New Roman" w:hAnsi="Times New Roman" w:eastAsia="Courier New" w:cs="Times New Roman"/>
      <w:kern w:val="0"/>
      <w:sz w:val="20"/>
      <w:szCs w:val="20"/>
      <w:lang w:eastAsia="en-US"/>
    </w:rPr>
  </w:style>
  <w:style w:type="character" w:customStyle="1" w:styleId="25">
    <w:name w:val="Heading 1 Char"/>
    <w:link w:val="2"/>
    <w:qFormat/>
    <w:uiPriority w:val="0"/>
    <w:rPr>
      <w:rFonts w:ascii="Arial" w:hAnsi="Arial"/>
      <w:b/>
      <w:bCs/>
      <w:kern w:val="44"/>
      <w:sz w:val="44"/>
      <w:szCs w:val="44"/>
    </w:rPr>
  </w:style>
  <w:style w:type="character" w:customStyle="1" w:styleId="26">
    <w:name w:val="Document Map Char"/>
    <w:link w:val="11"/>
    <w:semiHidden/>
    <w:qFormat/>
    <w:uiPriority w:val="99"/>
    <w:rPr>
      <w:rFonts w:ascii="Cambria Math" w:eastAsia="Cambria Math"/>
    </w:rPr>
  </w:style>
  <w:style w:type="paragraph" w:customStyle="1" w:styleId="27">
    <w:name w:val="TAC"/>
    <w:basedOn w:val="1"/>
    <w:link w:val="28"/>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28">
    <w:name w:val="TAC Char"/>
    <w:link w:val="27"/>
    <w:qFormat/>
    <w:uiPriority w:val="0"/>
    <w:rPr>
      <w:rFonts w:ascii="Courier New" w:hAnsi="Courier New" w:eastAsia="Yu Mincho Light" w:cs="Times New Roman"/>
      <w:kern w:val="0"/>
      <w:sz w:val="18"/>
      <w:szCs w:val="18"/>
      <w:lang w:val="en-GB"/>
    </w:rPr>
  </w:style>
  <w:style w:type="paragraph" w:customStyle="1" w:styleId="29">
    <w:name w:val="TH"/>
    <w:basedOn w:val="1"/>
    <w:link w:val="30"/>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0">
    <w:name w:val="TH Char"/>
    <w:link w:val="29"/>
    <w:qFormat/>
    <w:uiPriority w:val="0"/>
    <w:rPr>
      <w:rFonts w:ascii="Courier New" w:hAnsi="Courier New" w:eastAsia="Yu Mincho Light" w:cs="Times New Roman"/>
      <w:b/>
      <w:bCs/>
      <w:kern w:val="0"/>
      <w:sz w:val="20"/>
      <w:szCs w:val="20"/>
      <w:lang w:val="en-GB"/>
    </w:rPr>
  </w:style>
  <w:style w:type="paragraph" w:customStyle="1" w:styleId="31">
    <w:name w:val="TAH"/>
    <w:basedOn w:val="27"/>
    <w:link w:val="32"/>
    <w:qFormat/>
    <w:uiPriority w:val="0"/>
    <w:rPr>
      <w:b/>
      <w:bCs/>
    </w:rPr>
  </w:style>
  <w:style w:type="character" w:customStyle="1" w:styleId="32">
    <w:name w:val="TAH Car"/>
    <w:link w:val="31"/>
    <w:qFormat/>
    <w:uiPriority w:val="0"/>
    <w:rPr>
      <w:rFonts w:ascii="Courier New" w:hAnsi="Courier New" w:eastAsia="Yu Mincho Light" w:cs="Times New Roman"/>
      <w:b/>
      <w:bCs/>
      <w:kern w:val="0"/>
      <w:sz w:val="18"/>
      <w:szCs w:val="18"/>
      <w:lang w:val="en-GB"/>
    </w:rPr>
  </w:style>
  <w:style w:type="paragraph" w:customStyle="1" w:styleId="33">
    <w:name w:val="TAN"/>
    <w:basedOn w:val="1"/>
    <w:link w:val="34"/>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4">
    <w:name w:val="TAN Char"/>
    <w:link w:val="33"/>
    <w:qFormat/>
    <w:uiPriority w:val="0"/>
    <w:rPr>
      <w:rFonts w:ascii="Courier New" w:hAnsi="Courier New" w:eastAsia="Yu Mincho Light" w:cs="Times New Roman"/>
      <w:kern w:val="0"/>
      <w:sz w:val="18"/>
      <w:szCs w:val="18"/>
      <w:lang w:val="en-GB"/>
    </w:rPr>
  </w:style>
  <w:style w:type="character" w:customStyle="1" w:styleId="35">
    <w:name w:val="Heading 2 Char"/>
    <w:link w:val="3"/>
    <w:qFormat/>
    <w:uiPriority w:val="0"/>
    <w:rPr>
      <w:rFonts w:ascii="Courier New" w:hAnsi="Courier New" w:eastAsia="Courier New" w:cs="Times New Roman"/>
      <w:kern w:val="0"/>
      <w:sz w:val="32"/>
      <w:szCs w:val="20"/>
      <w:lang w:val="en-GB" w:eastAsia="en-US"/>
    </w:rPr>
  </w:style>
  <w:style w:type="character" w:customStyle="1" w:styleId="36">
    <w:name w:val="Heading 3 Char"/>
    <w:link w:val="4"/>
    <w:qFormat/>
    <w:uiPriority w:val="0"/>
    <w:rPr>
      <w:rFonts w:ascii="Courier New" w:hAnsi="Courier New" w:eastAsia="Courier New" w:cs="Times New Roman"/>
      <w:kern w:val="0"/>
      <w:sz w:val="28"/>
      <w:szCs w:val="20"/>
      <w:lang w:val="en-GB" w:eastAsia="en-US"/>
    </w:rPr>
  </w:style>
  <w:style w:type="character" w:customStyle="1" w:styleId="37">
    <w:name w:val="Heading 4 Char"/>
    <w:link w:val="5"/>
    <w:qFormat/>
    <w:uiPriority w:val="0"/>
    <w:rPr>
      <w:rFonts w:ascii="Courier New" w:hAnsi="Courier New" w:eastAsia="Courier New" w:cs="Times New Roman"/>
      <w:kern w:val="0"/>
      <w:szCs w:val="20"/>
      <w:lang w:val="en-GB" w:eastAsia="en-US"/>
    </w:rPr>
  </w:style>
  <w:style w:type="character" w:customStyle="1" w:styleId="38">
    <w:name w:val="Heading 5 Char"/>
    <w:link w:val="6"/>
    <w:qFormat/>
    <w:uiPriority w:val="0"/>
    <w:rPr>
      <w:rFonts w:ascii="Courier New" w:hAnsi="Courier New" w:eastAsia="Courier New" w:cs="Times New Roman"/>
      <w:kern w:val="0"/>
      <w:sz w:val="22"/>
      <w:szCs w:val="20"/>
      <w:lang w:val="en-GB" w:eastAsia="en-US"/>
    </w:rPr>
  </w:style>
  <w:style w:type="character" w:customStyle="1" w:styleId="39">
    <w:name w:val="Heading 7 Char"/>
    <w:link w:val="7"/>
    <w:qFormat/>
    <w:uiPriority w:val="0"/>
    <w:rPr>
      <w:rFonts w:ascii="Courier New" w:hAnsi="Courier New" w:eastAsia="Courier New" w:cs="Times New Roman"/>
      <w:kern w:val="0"/>
      <w:sz w:val="20"/>
      <w:szCs w:val="20"/>
      <w:lang w:val="en-GB" w:eastAsia="en-US"/>
    </w:rPr>
  </w:style>
  <w:style w:type="character" w:customStyle="1" w:styleId="40">
    <w:name w:val="Heading 8 Char"/>
    <w:link w:val="8"/>
    <w:qFormat/>
    <w:uiPriority w:val="0"/>
    <w:rPr>
      <w:rFonts w:ascii="Courier New" w:hAnsi="Courier New" w:eastAsia="Courier New" w:cs="Times New Roman"/>
      <w:kern w:val="0"/>
      <w:sz w:val="36"/>
      <w:szCs w:val="20"/>
      <w:lang w:val="en-GB" w:eastAsia="en-US"/>
    </w:rPr>
  </w:style>
  <w:style w:type="character" w:customStyle="1" w:styleId="41">
    <w:name w:val="Heading 9 Char"/>
    <w:link w:val="9"/>
    <w:qFormat/>
    <w:uiPriority w:val="0"/>
    <w:rPr>
      <w:rFonts w:ascii="Courier New" w:hAnsi="Courier New" w:eastAsia="Courier New" w:cs="Times New Roman"/>
      <w:kern w:val="0"/>
      <w:sz w:val="36"/>
      <w:szCs w:val="20"/>
      <w:lang w:val="en-GB" w:eastAsia="en-US"/>
    </w:rPr>
  </w:style>
  <w:style w:type="paragraph" w:customStyle="1" w:styleId="42">
    <w:name w:val="彩色列表 - 强调文字颜色 11"/>
    <w:basedOn w:val="1"/>
    <w:qFormat/>
    <w:uiPriority w:val="34"/>
    <w:pPr>
      <w:ind w:firstLine="420" w:firstLineChars="200"/>
    </w:pPr>
    <w:rPr>
      <w:rFonts w:ascii="Yu Mincho Light" w:hAnsi="Yu Mincho Light"/>
      <w:sz w:val="20"/>
      <w:szCs w:val="20"/>
    </w:rPr>
  </w:style>
  <w:style w:type="paragraph" w:customStyle="1" w:styleId="43">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4">
    <w:name w:val="Caption Char"/>
    <w:link w:val="10"/>
    <w:qFormat/>
    <w:uiPriority w:val="0"/>
    <w:rPr>
      <w:rFonts w:ascii="Courier New" w:hAnsi="Courier New"/>
      <w:b/>
      <w:kern w:val="20"/>
      <w:sz w:val="16"/>
      <w:lang w:eastAsia="en-US" w:bidi="ar-SA"/>
    </w:rPr>
  </w:style>
  <w:style w:type="character" w:customStyle="1" w:styleId="45">
    <w:name w:val="Balloon Text Char"/>
    <w:link w:val="13"/>
    <w:semiHidden/>
    <w:qFormat/>
    <w:uiPriority w:val="99"/>
    <w:rPr>
      <w:rFonts w:ascii="Cambria Math" w:eastAsia="Cambria Math"/>
      <w:sz w:val="18"/>
      <w:szCs w:val="18"/>
    </w:rPr>
  </w:style>
  <w:style w:type="character" w:customStyle="1" w:styleId="46">
    <w:name w:val="Footer Char"/>
    <w:link w:val="14"/>
    <w:qFormat/>
    <w:uiPriority w:val="99"/>
    <w:rPr>
      <w:sz w:val="18"/>
      <w:szCs w:val="18"/>
    </w:rPr>
  </w:style>
  <w:style w:type="character" w:customStyle="1" w:styleId="47">
    <w:name w:val="Comment Text Char"/>
    <w:basedOn w:val="21"/>
    <w:link w:val="12"/>
    <w:qFormat/>
    <w:uiPriority w:val="0"/>
  </w:style>
  <w:style w:type="character" w:customStyle="1" w:styleId="48">
    <w:name w:val="Comment Subject Char"/>
    <w:link w:val="18"/>
    <w:semiHidden/>
    <w:qFormat/>
    <w:uiPriority w:val="99"/>
    <w:rPr>
      <w:b/>
      <w:bCs/>
    </w:rPr>
  </w:style>
  <w:style w:type="paragraph" w:customStyle="1" w:styleId="49">
    <w:name w:val="B1"/>
    <w:basedOn w:val="16"/>
    <w:link w:val="50"/>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0">
    <w:name w:val="B1 Char1"/>
    <w:link w:val="49"/>
    <w:qFormat/>
    <w:uiPriority w:val="0"/>
    <w:rPr>
      <w:rFonts w:ascii="Times New Roman" w:hAnsi="Times New Roman" w:eastAsia="Times New Roman" w:cs="Times New Roman"/>
      <w:kern w:val="0"/>
      <w:sz w:val="20"/>
      <w:szCs w:val="20"/>
      <w:lang w:val="en-GB" w:eastAsia="en-US"/>
    </w:rPr>
  </w:style>
  <w:style w:type="character" w:customStyle="1" w:styleId="51">
    <w:name w:val="B1 Char"/>
    <w:qFormat/>
    <w:locked/>
    <w:uiPriority w:val="0"/>
    <w:rPr>
      <w:lang w:val="en-GB"/>
    </w:rPr>
  </w:style>
  <w:style w:type="paragraph" w:customStyle="1" w:styleId="52">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3">
    <w:name w:val="首标题"/>
    <w:qFormat/>
    <w:uiPriority w:val="0"/>
    <w:rPr>
      <w:rFonts w:ascii="Courier New" w:hAnsi="Courier New" w:eastAsia="Yu Mincho Light"/>
      <w:sz w:val="24"/>
      <w:lang w:val="en-US" w:eastAsia="zh-CN" w:bidi="ar-SA"/>
    </w:rPr>
  </w:style>
  <w:style w:type="paragraph" w:customStyle="1" w:styleId="54">
    <w:name w:val="插图题注"/>
    <w:basedOn w:val="1"/>
    <w:qFormat/>
    <w:uiPriority w:val="0"/>
    <w:pPr>
      <w:spacing w:after="180"/>
    </w:pPr>
    <w:rPr>
      <w:sz w:val="20"/>
      <w:szCs w:val="20"/>
      <w:lang w:val="en-GB" w:eastAsia="en-US"/>
    </w:rPr>
  </w:style>
  <w:style w:type="paragraph" w:customStyle="1" w:styleId="55">
    <w:name w:val="表格题注"/>
    <w:basedOn w:val="1"/>
    <w:qFormat/>
    <w:uiPriority w:val="0"/>
    <w:pPr>
      <w:spacing w:after="180"/>
    </w:pPr>
    <w:rPr>
      <w:sz w:val="20"/>
      <w:szCs w:val="20"/>
      <w:lang w:val="en-GB" w:eastAsia="en-US"/>
    </w:rPr>
  </w:style>
  <w:style w:type="paragraph" w:customStyle="1" w:styleId="56">
    <w:name w:val="TAL"/>
    <w:basedOn w:val="1"/>
    <w:link w:val="57"/>
    <w:qFormat/>
    <w:uiPriority w:val="0"/>
    <w:pPr>
      <w:keepNext/>
      <w:keepLines/>
    </w:pPr>
    <w:rPr>
      <w:rFonts w:ascii="Courier New" w:hAnsi="Courier New"/>
      <w:sz w:val="18"/>
      <w:szCs w:val="20"/>
      <w:lang w:val="en-GB" w:eastAsia="en-US"/>
    </w:rPr>
  </w:style>
  <w:style w:type="character" w:customStyle="1" w:styleId="57">
    <w:name w:val="TAL Car"/>
    <w:link w:val="56"/>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List Paragraph Char"/>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eastAsia="Yu Mincho Light" w:cs="Times New Roman"/>
      <w:sz w:val="24"/>
      <w:szCs w:val="24"/>
      <w:lang w:val="en-US" w:eastAsia="zh-CN" w:bidi="ar-SA"/>
    </w:rPr>
  </w:style>
  <w:style w:type="table" w:customStyle="1" w:styleId="77">
    <w:name w:val="网格型1"/>
    <w:basedOn w:val="19"/>
    <w:qFormat/>
    <w:uiPriority w:val="0"/>
    <w:pPr>
      <w:overflowPunct w:val="0"/>
      <w:autoSpaceDE w:val="0"/>
      <w:autoSpaceDN w:val="0"/>
      <w:adjustRightInd w:val="0"/>
      <w:spacing w:after="180" w:line="276" w:lineRule="auto"/>
      <w:textAlignment w:val="baseline"/>
    </w:pPr>
    <w:rPr>
      <w:rFonts w:ascii="Times New Roman" w:hAnsi="Times New Roman"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8">
    <w:name w:val="NO Char"/>
    <w:qFormat/>
    <w:uiPriority w:val="0"/>
    <w:rPr>
      <w:lang w:val="en-GB" w:eastAsia="en-US"/>
    </w:rPr>
  </w:style>
  <w:style w:type="paragraph" w:customStyle="1" w:styleId="79">
    <w:name w:val="Revision"/>
    <w:hidden/>
    <w:unhideWhenUsed/>
    <w:qFormat/>
    <w:uiPriority w:val="99"/>
    <w:rPr>
      <w:rFonts w:ascii="Times New Roman" w:hAnsi="Times New Roman" w:eastAsia="Yu Mincho Light"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14A97-54FC-457B-A86E-3CF5F9C9CF2E}">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1325</Words>
  <Characters>7559</Characters>
  <Lines>62</Lines>
  <Paragraphs>17</Paragraphs>
  <TotalTime>9</TotalTime>
  <ScaleCrop>false</ScaleCrop>
  <LinksUpToDate>false</LinksUpToDate>
  <CharactersWithSpaces>8867</CharactersWithSpaces>
  <Application>WPS Office_11.8.2.12085_F1E327BC-269C-435d-A152-05C5408002CA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2023-08-24T11:59:00Z</dcterms:created>
  <dc:creator>Shiyuan Wang</dc:creator>
  <cp:lastModifiedBy>CMCC2</cp:lastModifiedBy>
  <dcterms:modified xsi:type="dcterms:W3CDTF">2023-08-25T03:41:17Z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35AB069F688D4ED5B682AD9C1E32B864</vt:lpwstr>
  </property>
</Properties>
</file>